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lt-LT"/>
        </w:rPr>
      </w:pPr>
      <w:r>
        <w:rPr>
          <w:lang w:val="lt-LT"/>
        </w:rPr>
      </w:r>
    </w:p>
    <w:p>
      <w:pPr>
        <w:pStyle w:val="Normal"/>
        <w:jc w:val="center"/>
        <w:rPr>
          <w:rFonts w:ascii="Times New Roman" w:hAnsi="Times New Roman" w:cs="Times New Roman"/>
          <w:b/>
          <w:b/>
          <w:color w:val="000000"/>
          <w:sz w:val="24"/>
          <w:szCs w:val="24"/>
          <w:lang w:val="lt-LT"/>
        </w:rPr>
      </w:pPr>
      <w:r>
        <w:rPr>
          <w:rFonts w:eastAsia="Times New Roman" w:cs="Times New Roman" w:ascii="Times New Roman" w:hAnsi="Times New Roman"/>
          <w:b/>
          <w:color w:val="000000"/>
          <w:sz w:val="24"/>
          <w:szCs w:val="24"/>
          <w:lang w:val="lt-LT" w:bidi="lt-LT"/>
        </w:rPr>
        <w:t>KVIEČIAME DALYVAUTI PIRMAJAME NACIONALINIAME PICŲ KEPIMO KONKURSE LIETUVOJE!</w:t>
      </w:r>
    </w:p>
    <w:p>
      <w:pPr>
        <w:pStyle w:val="Normal"/>
        <w:jc w:val="center"/>
        <w:rPr>
          <w:rFonts w:ascii="Times New Roman" w:hAnsi="Times New Roman" w:cs="Times New Roman"/>
          <w:b/>
          <w:b/>
          <w:color w:val="000000"/>
          <w:sz w:val="24"/>
          <w:szCs w:val="24"/>
          <w:lang w:val="lt-LT"/>
        </w:rPr>
      </w:pPr>
      <w:r>
        <w:rPr>
          <w:rFonts w:eastAsia="Times New Roman" w:cs="Times New Roman" w:ascii="Times New Roman" w:hAnsi="Times New Roman"/>
          <w:b/>
          <w:color w:val="000000"/>
          <w:sz w:val="24"/>
          <w:szCs w:val="24"/>
          <w:lang w:val="lt-LT" w:bidi="lt-LT"/>
        </w:rPr>
        <w:t>LAPKRIČIO 14 D. VILNIUJE, LIETUVOJE, ATĖJO METAS LABIAUSIAI ĮGUDUSIEMS PICŲ KEPĖJAMS VARŽYTIS DĖL PIRMOJO NACIONALINIO PICŲ TROFĖJAUS!</w:t>
      </w:r>
    </w:p>
    <w:p>
      <w:pPr>
        <w:pStyle w:val="Normal"/>
        <w:jc w:val="center"/>
        <w:rPr>
          <w:rFonts w:ascii="Times New Roman" w:hAnsi="Times New Roman" w:cs="Times New Roman"/>
          <w:color w:val="000000"/>
          <w:sz w:val="24"/>
          <w:szCs w:val="24"/>
          <w:lang w:val="lt-LT"/>
        </w:rPr>
      </w:pPr>
      <w:r>
        <w:rPr>
          <w:rFonts w:cs="Times New Roman" w:ascii="Times New Roman" w:hAnsi="Times New Roman"/>
          <w:color w:val="000000"/>
          <w:sz w:val="24"/>
          <w:szCs w:val="24"/>
          <w:lang w:val="lt-LT"/>
        </w:rPr>
      </w:r>
    </w:p>
    <w:p>
      <w:pPr>
        <w:pStyle w:val="Normal"/>
        <w:jc w:val="center"/>
        <w:rPr>
          <w:rFonts w:ascii="Times New Roman" w:hAnsi="Times New Roman" w:cs="Times New Roman"/>
          <w:sz w:val="24"/>
          <w:szCs w:val="24"/>
          <w:lang w:val="lt-LT"/>
        </w:rPr>
      </w:pPr>
      <w:r>
        <w:rPr>
          <w:rFonts w:eastAsia="Times New Roman" w:cs="Times New Roman" w:ascii="Times New Roman" w:hAnsi="Times New Roman"/>
          <w:b/>
          <w:color w:val="000000" w:themeColor="text1"/>
          <w:sz w:val="24"/>
          <w:szCs w:val="24"/>
          <w:lang w:val="lt-LT" w:bidi="lt-LT"/>
        </w:rPr>
        <w:t>2024 M. LIETUVOS NACIONALINIO PICOS TROFĖJAUS KONKURSO TAISYKLĖS</w:t>
      </w:r>
    </w:p>
    <w:p>
      <w:pPr>
        <w:pStyle w:val="Normal"/>
        <w:jc w:val="center"/>
        <w:rPr>
          <w:rFonts w:ascii="Times New Roman" w:hAnsi="Times New Roman" w:cs="Times New Roman"/>
          <w:b/>
          <w:b/>
          <w:color w:val="000000" w:themeColor="text1"/>
          <w:sz w:val="24"/>
          <w:szCs w:val="24"/>
          <w:lang w:val="lt-LT"/>
        </w:rPr>
      </w:pPr>
      <w:r>
        <w:rPr>
          <w:rFonts w:cs="Times New Roman" w:ascii="Times New Roman" w:hAnsi="Times New Roman"/>
          <w:b/>
          <w:color w:val="000000" w:themeColor="text1"/>
          <w:sz w:val="24"/>
          <w:szCs w:val="24"/>
          <w:lang w:val="lt-LT"/>
        </w:rPr>
      </w:r>
    </w:p>
    <w:p>
      <w:pPr>
        <w:pStyle w:val="Normal"/>
        <w:spacing w:before="240" w:after="160"/>
        <w:rPr>
          <w:rFonts w:ascii="Times New Roman" w:hAnsi="Times New Roman" w:cs="Times New Roman"/>
          <w:color w:val="000000" w:themeColor="text1"/>
          <w:sz w:val="24"/>
          <w:szCs w:val="24"/>
          <w:lang w:val="lt-LT"/>
        </w:rPr>
      </w:pPr>
      <w:r>
        <w:rPr>
          <w:rFonts w:eastAsia="Times New Roman" w:cs="Times New Roman" w:ascii="Times New Roman" w:hAnsi="Times New Roman"/>
          <w:b/>
          <w:color w:val="000000" w:themeColor="text1"/>
          <w:sz w:val="24"/>
          <w:szCs w:val="24"/>
          <w:lang w:val="lt-LT" w:bidi="lt-LT"/>
        </w:rPr>
        <w:t xml:space="preserve">2024 M. NACIONALINĮ PICOS TROFĖJŲ </w:t>
      </w:r>
      <w:r>
        <w:rPr>
          <w:rFonts w:eastAsia="Times New Roman" w:cs="Times New Roman" w:ascii="Times New Roman" w:hAnsi="Times New Roman"/>
          <w:color w:val="000000" w:themeColor="text1"/>
          <w:sz w:val="24"/>
          <w:szCs w:val="24"/>
          <w:lang w:val="lt-LT" w:bidi="lt-LT"/>
        </w:rPr>
        <w:t>organizuoja Lietuvos vyriausiųjų virėjų ir konditerių asociacija kartu su „Reaton Food“.</w:t>
      </w:r>
    </w:p>
    <w:p>
      <w:pPr>
        <w:pStyle w:val="Normal"/>
        <w:rPr>
          <w:rFonts w:ascii="Times New Roman" w:hAnsi="Times New Roman" w:cs="Times New Roman"/>
          <w:color w:val="000000" w:themeColor="text1"/>
          <w:sz w:val="24"/>
          <w:szCs w:val="24"/>
          <w:lang w:val="lt-LT"/>
        </w:rPr>
      </w:pPr>
      <w:r>
        <w:rPr>
          <w:rFonts w:eastAsia="Times New Roman" w:cs="Times New Roman" w:ascii="Times New Roman" w:hAnsi="Times New Roman"/>
          <w:b/>
          <w:color w:val="000000" w:themeColor="text1"/>
          <w:sz w:val="24"/>
          <w:szCs w:val="24"/>
          <w:lang w:val="lt-LT" w:bidi="lt-LT"/>
        </w:rPr>
        <w:t>Konkurso tikslas</w:t>
      </w:r>
      <w:r>
        <w:rPr>
          <w:rFonts w:eastAsia="Times New Roman" w:cs="Times New Roman" w:ascii="Times New Roman" w:hAnsi="Times New Roman"/>
          <w:color w:val="000000" w:themeColor="text1"/>
          <w:sz w:val="24"/>
          <w:szCs w:val="24"/>
          <w:lang w:val="lt-LT" w:bidi="lt-LT"/>
        </w:rPr>
        <w:t xml:space="preserve"> Švęsti ir plėtoti picų meistrų ir picų kultūrą Lietuvoje.</w:t>
      </w:r>
    </w:p>
    <w:p>
      <w:pPr>
        <w:pStyle w:val="Normal"/>
        <w:rPr>
          <w:rFonts w:ascii="Times New Roman" w:hAnsi="Times New Roman" w:cs="Times New Roman"/>
          <w:color w:val="000000" w:themeColor="text1"/>
          <w:sz w:val="24"/>
          <w:szCs w:val="24"/>
          <w:lang w:val="lt-LT"/>
        </w:rPr>
      </w:pPr>
      <w:r>
        <w:rPr>
          <w:rFonts w:cs="Times New Roman" w:ascii="Times New Roman" w:hAnsi="Times New Roman"/>
          <w:color w:val="000000" w:themeColor="text1"/>
          <w:sz w:val="24"/>
          <w:szCs w:val="24"/>
          <w:lang w:val="lt-LT"/>
        </w:rPr>
      </w:r>
    </w:p>
    <w:p>
      <w:pPr>
        <w:pStyle w:val="ListParagraph"/>
        <w:numPr>
          <w:ilvl w:val="0"/>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b/>
          <w:color w:val="000000" w:themeColor="text1"/>
          <w:sz w:val="24"/>
          <w:szCs w:val="24"/>
          <w:lang w:val="lt-LT" w:bidi="lt-LT"/>
        </w:rPr>
        <w:t>KONKURSANTAI</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b/>
          <w:color w:val="000000" w:themeColor="text1"/>
          <w:sz w:val="24"/>
          <w:szCs w:val="24"/>
          <w:lang w:val="lt-LT" w:bidi="lt-LT"/>
        </w:rPr>
        <w:t xml:space="preserve">2024 M. LIETUVOS NACIONALINIO PICOS TROFĖJAUS </w:t>
      </w:r>
      <w:r>
        <w:rPr>
          <w:rFonts w:eastAsia="Times New Roman" w:cs="Times New Roman" w:ascii="Times New Roman" w:hAnsi="Times New Roman"/>
          <w:color w:val="000000" w:themeColor="text1"/>
          <w:sz w:val="24"/>
          <w:szCs w:val="24"/>
          <w:lang w:val="lt-LT" w:bidi="lt-LT"/>
        </w:rPr>
        <w:t>konkurse</w:t>
      </w:r>
      <w:r>
        <w:rPr>
          <w:rFonts w:eastAsia="Times New Roman" w:cs="Times New Roman" w:ascii="Times New Roman" w:hAnsi="Times New Roman"/>
          <w:b/>
          <w:color w:val="000000" w:themeColor="text1"/>
          <w:sz w:val="24"/>
          <w:szCs w:val="24"/>
          <w:lang w:val="lt-LT" w:bidi="lt-LT"/>
        </w:rPr>
        <w:t xml:space="preserve"> </w:t>
      </w:r>
      <w:r>
        <w:rPr>
          <w:rFonts w:eastAsia="Times New Roman" w:cs="Times New Roman" w:ascii="Times New Roman" w:hAnsi="Times New Roman"/>
          <w:color w:val="000000" w:themeColor="text1"/>
          <w:sz w:val="24"/>
          <w:szCs w:val="24"/>
          <w:lang w:val="lt-LT" w:bidi="lt-LT"/>
        </w:rPr>
        <w:t xml:space="preserve">gali dalyvauti visi picų kepėjai, dirbantys atstovaujamos šalies įmonėje. </w:t>
      </w:r>
    </w:p>
    <w:p>
      <w:pPr>
        <w:pStyle w:val="ListParagraph"/>
        <w:ind w:left="792" w:hanging="0"/>
        <w:rPr>
          <w:rFonts w:ascii="Times New Roman" w:hAnsi="Times New Roman" w:cs="Times New Roman"/>
          <w:color w:val="000000" w:themeColor="text1"/>
          <w:sz w:val="24"/>
          <w:szCs w:val="24"/>
          <w:lang w:val="lt-LT"/>
        </w:rPr>
      </w:pPr>
      <w:r>
        <w:rPr>
          <w:rFonts w:cs="Times New Roman" w:ascii="Times New Roman" w:hAnsi="Times New Roman"/>
          <w:color w:val="000000" w:themeColor="text1"/>
          <w:sz w:val="24"/>
          <w:szCs w:val="24"/>
          <w:lang w:val="lt-LT"/>
        </w:rPr>
      </w:r>
    </w:p>
    <w:p>
      <w:pPr>
        <w:pStyle w:val="ListParagraph"/>
        <w:numPr>
          <w:ilvl w:val="0"/>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b/>
          <w:color w:val="000000" w:themeColor="text1"/>
          <w:sz w:val="24"/>
          <w:szCs w:val="24"/>
          <w:lang w:val="lt-LT" w:bidi="lt-LT"/>
        </w:rPr>
        <w:t xml:space="preserve">REGISTRACIJA </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Paraiška turi būti pateikta ne vėliau kaip 2024 m. spalio 25 d.</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 xml:space="preserve">Konkurso </w:t>
      </w:r>
      <w:r>
        <w:rPr>
          <w:rFonts w:eastAsia="Times New Roman" w:cs="Times New Roman" w:ascii="Times New Roman" w:hAnsi="Times New Roman"/>
          <w:color w:val="000000" w:themeColor="text1"/>
          <w:sz w:val="24"/>
          <w:szCs w:val="24"/>
          <w:lang w:val="en-US" w:bidi="lt-LT"/>
        </w:rPr>
        <w:t>data</w:t>
      </w:r>
      <w:r>
        <w:rPr>
          <w:rFonts w:eastAsia="Times New Roman" w:cs="Times New Roman" w:ascii="Times New Roman" w:hAnsi="Times New Roman"/>
          <w:color w:val="000000" w:themeColor="text1"/>
          <w:sz w:val="24"/>
          <w:szCs w:val="24"/>
          <w:lang w:val="lt-LT" w:bidi="lt-LT"/>
        </w:rPr>
        <w:t>: 2024 m. lapkričio 14 d.</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sz w:val="24"/>
          <w:szCs w:val="24"/>
          <w:lang w:val="lt-LT" w:bidi="lt-LT"/>
        </w:rPr>
        <w:t xml:space="preserve">Konkurso vieta: meistriškumo klasė </w:t>
      </w:r>
      <w:r>
        <w:rPr>
          <w:rFonts w:eastAsia="Times New Roman" w:cs="Times New Roman" w:ascii="Times New Roman" w:hAnsi="Times New Roman"/>
          <w:color w:val="000000"/>
          <w:sz w:val="24"/>
          <w:szCs w:val="24"/>
          <w:lang w:val="en-US" w:bidi="lt-LT"/>
        </w:rPr>
        <w:t xml:space="preserve">3 </w:t>
      </w:r>
      <w:r>
        <w:rPr>
          <w:rFonts w:eastAsia="Times New Roman" w:cs="Times New Roman" w:ascii="Times New Roman" w:hAnsi="Times New Roman"/>
          <w:color w:val="000000"/>
          <w:sz w:val="24"/>
          <w:szCs w:val="24"/>
          <w:lang w:val="lt-LT" w:bidi="lt-LT"/>
        </w:rPr>
        <w:t>salėje, Lietuvos parodų centre „Litexpo“, Laisvės pr. 5, LT-04215 Vilnius, Lietuva</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Lapkričio 14 d. į konkursų zoną dalyviai kviečiami atvykti</w:t>
      </w:r>
      <w:r>
        <w:rPr>
          <w:rFonts w:eastAsia="Times New Roman" w:cs="Times New Roman" w:ascii="Times New Roman" w:hAnsi="Times New Roman"/>
          <w:color w:val="000000" w:themeColor="text1"/>
          <w:sz w:val="24"/>
          <w:szCs w:val="24"/>
          <w:lang w:val="en-US" w:bidi="lt-LT"/>
        </w:rPr>
        <w:t xml:space="preserve"> nuo 9.00 iki 9:30 </w:t>
      </w:r>
      <w:r>
        <w:rPr>
          <w:rFonts w:eastAsia="Times New Roman" w:cs="Times New Roman" w:ascii="Times New Roman" w:hAnsi="Times New Roman"/>
          <w:color w:val="000000" w:themeColor="text1"/>
          <w:sz w:val="24"/>
          <w:szCs w:val="24"/>
          <w:lang w:val="lt-LT" w:bidi="lt-LT"/>
        </w:rPr>
        <w:t xml:space="preserve">val. </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 xml:space="preserve">Į konkursą kviečiame registruotis el. paštu </w:t>
      </w:r>
      <w:hyperlink r:id="rId2">
        <w:r>
          <w:rPr>
            <w:rStyle w:val="InternetLink"/>
            <w:rFonts w:eastAsia="Times New Roman" w:cs="Times New Roman" w:ascii="Times New Roman" w:hAnsi="Times New Roman"/>
            <w:sz w:val="24"/>
            <w:szCs w:val="24"/>
            <w:lang w:val="lt-LT" w:bidi="lt-LT"/>
          </w:rPr>
          <w:t>vadybininke@lrvvk.lt</w:t>
        </w:r>
      </w:hyperlink>
      <w:r>
        <w:rPr>
          <w:rStyle w:val="InternetLink"/>
          <w:rFonts w:eastAsia="Times New Roman" w:cs="Times New Roman" w:ascii="Times New Roman" w:hAnsi="Times New Roman"/>
          <w:color w:val="000000" w:themeColor="text1"/>
          <w:sz w:val="24"/>
          <w:szCs w:val="24"/>
          <w:lang w:val="lt-LT" w:bidi="lt-LT"/>
        </w:rPr>
        <w:t xml:space="preserve">, </w:t>
      </w:r>
      <w:r>
        <w:rPr>
          <w:rFonts w:eastAsia="Times New Roman" w:cs="Times New Roman" w:ascii="Times New Roman" w:hAnsi="Times New Roman"/>
          <w:color w:val="000000" w:themeColor="text1"/>
          <w:sz w:val="24"/>
          <w:szCs w:val="24"/>
          <w:lang w:val="lt-LT" w:bidi="lt-LT"/>
        </w:rPr>
        <w:t>pateikiant šiuos dalyvio duomenis, pvz., vardas, pavardė, atstovaujama įmonė, kontaktai.</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Kiekvienas konkursantas turi dalyvauti abiejose kategorijose „Klasikinė pica“ („Margarita“) ir „Pica ant ližės“ su pasirinktina pica.</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50 eur registracijos mokestis iki spali</w:t>
      </w:r>
      <w:r>
        <w:rPr>
          <w:rFonts w:eastAsia="Times New Roman" w:cs="Times New Roman" w:ascii="Times New Roman" w:hAnsi="Times New Roman"/>
          <w:color w:val="000000" w:themeColor="text1"/>
          <w:sz w:val="24"/>
          <w:szCs w:val="24"/>
          <w:lang w:val="en-US" w:bidi="lt-LT"/>
        </w:rPr>
        <w:t>o</w:t>
      </w:r>
      <w:r>
        <w:rPr>
          <w:rFonts w:eastAsia="Times New Roman" w:cs="Times New Roman" w:ascii="Times New Roman" w:hAnsi="Times New Roman"/>
          <w:color w:val="000000" w:themeColor="text1"/>
          <w:sz w:val="24"/>
          <w:szCs w:val="24"/>
          <w:lang w:val="lt-LT" w:bidi="lt-LT"/>
        </w:rPr>
        <w:t xml:space="preserve"> </w:t>
      </w:r>
      <w:r>
        <w:rPr>
          <w:rFonts w:eastAsia="Times New Roman" w:cs="Times New Roman" w:ascii="Times New Roman" w:hAnsi="Times New Roman"/>
          <w:color w:val="000000" w:themeColor="text1"/>
          <w:sz w:val="24"/>
          <w:szCs w:val="24"/>
          <w:lang w:val="en-US" w:bidi="lt-LT"/>
        </w:rPr>
        <w:t xml:space="preserve">25 d. </w:t>
      </w:r>
      <w:r>
        <w:rPr>
          <w:rFonts w:eastAsia="Times New Roman" w:cs="Times New Roman" w:ascii="Times New Roman" w:hAnsi="Times New Roman"/>
          <w:color w:val="000000" w:themeColor="text1"/>
          <w:sz w:val="24"/>
          <w:szCs w:val="24"/>
          <w:lang w:val="lt-LT" w:bidi="lt-LT"/>
        </w:rPr>
        <w:t>pervedamas:</w:t>
      </w:r>
    </w:p>
    <w:p>
      <w:pPr>
        <w:pStyle w:val="ListParagraph"/>
        <w:ind w:left="792" w:hanging="0"/>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LVVKA, įmonės kodas 125446118</w:t>
      </w:r>
    </w:p>
    <w:p>
      <w:pPr>
        <w:pStyle w:val="ListParagraph"/>
        <w:ind w:left="792" w:hanging="0"/>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sąskaita LT347044060001485623</w:t>
      </w:r>
    </w:p>
    <w:p>
      <w:pPr>
        <w:pStyle w:val="ListParagraph"/>
        <w:ind w:left="792" w:hanging="0"/>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AB „SEB bank“</w:t>
      </w:r>
    </w:p>
    <w:p>
      <w:pPr>
        <w:pStyle w:val="ListParagraph"/>
        <w:ind w:left="792" w:hanging="0"/>
        <w:rPr>
          <w:rFonts w:ascii="Times New Roman" w:hAnsi="Times New Roman" w:cs="Times New Roman"/>
          <w:color w:val="000000" w:themeColor="text1"/>
          <w:sz w:val="24"/>
          <w:szCs w:val="24"/>
          <w:lang w:val="lt-LT"/>
        </w:rPr>
      </w:pPr>
      <w:r>
        <w:rPr>
          <w:rFonts w:cs="Times New Roman" w:ascii="Times New Roman" w:hAnsi="Times New Roman"/>
          <w:color w:val="000000" w:themeColor="text1"/>
          <w:sz w:val="24"/>
          <w:szCs w:val="24"/>
          <w:lang w:val="lt-LT"/>
        </w:rPr>
      </w:r>
    </w:p>
    <w:p>
      <w:pPr>
        <w:pStyle w:val="ListParagraph"/>
        <w:numPr>
          <w:ilvl w:val="0"/>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b/>
          <w:sz w:val="24"/>
          <w:szCs w:val="24"/>
          <w:lang w:val="lt-LT" w:bidi="lt-LT"/>
        </w:rPr>
        <w:t>APRANGA</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Konkursantai privalo dėvėti tinkamą ir švarią uniformą, kurią sudaro: kepurė (bandana), švarkas ar marškinėliai, virtuvinės kelnės ir tinkama avalynė. Taip pat draudžiama dėvėti papuošalus, apyrankes, žiedus ir laikrodžius.</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 xml:space="preserve">Dalyviai gali dėvėti savo asociacijos, grupės arba restorano uniformą. </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Techninis teisėjas privalo patikrinti, ar laikomasi taisyklių, ir, jei yra pažeidimų, taikyti šias kaupiamąsias nuobaudas: Netinkama ir (arba) nešvari uniforma: – 5 balai</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Papuošalai (apyrankės, laikrodžiai, žiedai): – 5 balai</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Per apdovanojimų ceremoniją į sceną bus įleidžiami tik picų kepėjo ar virėjo uniformą dėvintys dalyviai.</w:t>
      </w:r>
    </w:p>
    <w:p>
      <w:pPr>
        <w:pStyle w:val="ListParagraph"/>
        <w:ind w:left="792" w:hanging="0"/>
        <w:rPr>
          <w:rFonts w:ascii="Times New Roman" w:hAnsi="Times New Roman" w:cs="Times New Roman"/>
          <w:color w:val="000000" w:themeColor="text1"/>
          <w:sz w:val="24"/>
          <w:szCs w:val="24"/>
          <w:lang w:val="lt-LT"/>
        </w:rPr>
      </w:pPr>
      <w:r>
        <w:rPr>
          <w:rFonts w:cs="Times New Roman" w:ascii="Times New Roman" w:hAnsi="Times New Roman"/>
          <w:color w:val="000000" w:themeColor="text1"/>
          <w:sz w:val="24"/>
          <w:szCs w:val="24"/>
          <w:lang w:val="lt-LT"/>
        </w:rPr>
      </w:r>
    </w:p>
    <w:p>
      <w:pPr>
        <w:pStyle w:val="ListParagraph"/>
        <w:numPr>
          <w:ilvl w:val="0"/>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b/>
          <w:sz w:val="24"/>
          <w:szCs w:val="24"/>
          <w:lang w:val="lt-LT" w:bidi="lt-LT"/>
        </w:rPr>
        <w:t xml:space="preserve"> </w:t>
      </w:r>
      <w:r>
        <w:rPr>
          <w:rFonts w:eastAsia="Times New Roman" w:cs="Times New Roman" w:ascii="Times New Roman" w:hAnsi="Times New Roman"/>
          <w:b/>
          <w:sz w:val="24"/>
          <w:szCs w:val="24"/>
          <w:lang w:val="lt-LT" w:bidi="lt-LT"/>
        </w:rPr>
        <w:t>SUDEDAMOSIOS DALYS</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 xml:space="preserve">Organizatorius aprūpins </w:t>
      </w:r>
      <w:r>
        <w:rPr>
          <w:rFonts w:eastAsia="Times New Roman" w:cs="Times New Roman" w:ascii="Times New Roman" w:hAnsi="Times New Roman"/>
          <w:b/>
          <w:sz w:val="24"/>
          <w:szCs w:val="24"/>
          <w:lang w:val="lt-LT" w:bidi="lt-LT"/>
        </w:rPr>
        <w:t xml:space="preserve">„Molino Spadoni“ </w:t>
      </w:r>
      <w:r>
        <w:rPr>
          <w:rFonts w:eastAsia="Times New Roman" w:cs="Times New Roman" w:ascii="Times New Roman" w:hAnsi="Times New Roman"/>
          <w:sz w:val="24"/>
          <w:szCs w:val="24"/>
          <w:lang w:val="lt-LT" w:bidi="lt-LT"/>
        </w:rPr>
        <w:t xml:space="preserve">miltais ir </w:t>
      </w:r>
      <w:r>
        <w:rPr>
          <w:rFonts w:eastAsia="Times New Roman" w:cs="Times New Roman" w:ascii="Times New Roman" w:hAnsi="Times New Roman"/>
          <w:b/>
          <w:sz w:val="24"/>
          <w:szCs w:val="24"/>
          <w:lang w:val="lt-LT" w:bidi="lt-LT"/>
        </w:rPr>
        <w:t xml:space="preserve">„Granterra“ </w:t>
      </w:r>
      <w:r>
        <w:rPr>
          <w:rFonts w:eastAsia="Times New Roman" w:cs="Times New Roman" w:ascii="Times New Roman" w:hAnsi="Times New Roman"/>
          <w:sz w:val="24"/>
          <w:szCs w:val="24"/>
          <w:lang w:val="lt-LT" w:bidi="lt-LT"/>
        </w:rPr>
        <w:t>ir „</w:t>
      </w:r>
      <w:r>
        <w:rPr>
          <w:rFonts w:eastAsia="Times New Roman" w:cs="Times New Roman" w:ascii="Times New Roman" w:hAnsi="Times New Roman"/>
          <w:b/>
          <w:sz w:val="24"/>
          <w:szCs w:val="24"/>
          <w:lang w:val="lt-LT" w:bidi="lt-LT"/>
        </w:rPr>
        <w:t xml:space="preserve">Meniu“ </w:t>
      </w:r>
      <w:r>
        <w:rPr>
          <w:rFonts w:eastAsia="Times New Roman" w:cs="Times New Roman" w:ascii="Times New Roman" w:hAnsi="Times New Roman"/>
          <w:sz w:val="24"/>
          <w:szCs w:val="24"/>
          <w:lang w:val="lt-LT" w:bidi="lt-LT"/>
        </w:rPr>
        <w:t>produktais</w:t>
      </w:r>
      <w:r>
        <w:rPr>
          <w:rFonts w:eastAsia="Times New Roman" w:cs="Times New Roman" w:ascii="Times New Roman" w:hAnsi="Times New Roman"/>
          <w:b/>
          <w:sz w:val="24"/>
          <w:szCs w:val="24"/>
          <w:lang w:val="lt-LT" w:bidi="lt-LT"/>
        </w:rPr>
        <w:t xml:space="preserve">. </w:t>
      </w:r>
      <w:r>
        <w:rPr>
          <w:rFonts w:eastAsia="Times New Roman" w:cs="Times New Roman" w:ascii="Times New Roman" w:hAnsi="Times New Roman"/>
          <w:sz w:val="24"/>
          <w:szCs w:val="24"/>
          <w:lang w:val="lt-LT" w:bidi="lt-LT"/>
        </w:rPr>
        <w:t xml:space="preserve">Šie produktai bus pateikti dalyviams prieš konkursą, kad jie galėtų pasiruošti ir naudotis jais per konkursą. Konkursantai privalo naudoti šiuos produktus. Kartu su išvardytais produktais gali būti naudojami ir kiti, konkursanto pasirinkti produktai. </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 xml:space="preserve">Konkursantai yra patys atsakingi už organizatoriaus pateiktų ir savo produktų paruošimą ir išdėstymą ant darbastalio paviršiaus. </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 xml:space="preserve">Konkursantai atsineša savo tešlą. Už tešlos saugojimą visą laiką atsako pats konkursantas. Organizatoriai parūpina šaldytuvą. </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 xml:space="preserve">Jei yra kitų, organizatoriaus nesuteiktų produktų, konkursantai prisiima visą atsakomybę už juos pasiruošiant ir dalyvaujant konkurse. </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Per konkursą konkursantai privalo likti jiems skirtoje vietoje prie krosnies ir jiems draudžiama palikti šią vietą, kol jų picos iškeps.</w:t>
      </w:r>
    </w:p>
    <w:p>
      <w:pPr>
        <w:pStyle w:val="ListParagraph"/>
        <w:ind w:left="792" w:hanging="0"/>
        <w:rPr>
          <w:rFonts w:ascii="Times New Roman" w:hAnsi="Times New Roman" w:cs="Times New Roman"/>
          <w:color w:val="000000" w:themeColor="text1"/>
          <w:sz w:val="24"/>
          <w:szCs w:val="24"/>
          <w:lang w:val="lt-LT"/>
        </w:rPr>
      </w:pPr>
      <w:r>
        <w:rPr>
          <w:rFonts w:cs="Times New Roman" w:ascii="Times New Roman" w:hAnsi="Times New Roman"/>
          <w:color w:val="000000" w:themeColor="text1"/>
          <w:sz w:val="24"/>
          <w:szCs w:val="24"/>
          <w:lang w:val="lt-LT"/>
        </w:rPr>
      </w:r>
    </w:p>
    <w:p>
      <w:pPr>
        <w:pStyle w:val="ListParagraph"/>
        <w:numPr>
          <w:ilvl w:val="0"/>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b/>
          <w:sz w:val="24"/>
          <w:szCs w:val="24"/>
          <w:lang w:val="lt-LT" w:bidi="lt-LT"/>
        </w:rPr>
        <w:t xml:space="preserve">KATEGORIJOS SPECIFIKACIJOS IR LAIKAS </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Vienu metu varžysis du (2) dalyviai</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9.30 val. konkursantai susipažįsta su įranga ir darbo vietomis.</w:t>
      </w:r>
    </w:p>
    <w:p>
      <w:pPr>
        <w:pStyle w:val="ListParagraph"/>
        <w:numPr>
          <w:ilvl w:val="2"/>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color w:val="000000" w:themeColor="text1"/>
          <w:sz w:val="24"/>
          <w:szCs w:val="24"/>
          <w:lang w:val="lt-LT" w:bidi="lt-LT"/>
        </w:rPr>
        <w:t xml:space="preserve"> </w:t>
      </w:r>
    </w:p>
    <w:tbl>
      <w:tblPr>
        <w:tblStyle w:val="TableGrid"/>
        <w:tblW w:w="620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13"/>
        <w:gridCol w:w="1253"/>
        <w:gridCol w:w="1714"/>
        <w:gridCol w:w="1526"/>
      </w:tblGrid>
      <w:tr>
        <w:trPr/>
        <w:tc>
          <w:tcPr>
            <w:tcW w:w="171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Konkursantas</w:t>
            </w:r>
          </w:p>
        </w:tc>
        <w:tc>
          <w:tcPr>
            <w:tcW w:w="1253" w:type="dxa"/>
            <w:tcBorders/>
          </w:tcPr>
          <w:p>
            <w:pPr>
              <w:pStyle w:val="Normal"/>
              <w:widowControl w:val="false"/>
              <w:suppressAutoHyphens w:val="true"/>
              <w:spacing w:lineRule="auto" w:line="240" w:before="0" w:after="0"/>
              <w:jc w:val="center"/>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Pradžios laikas</w:t>
            </w:r>
          </w:p>
        </w:tc>
        <w:tc>
          <w:tcPr>
            <w:tcW w:w="1714"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 xml:space="preserve">1 patiekimas </w:t>
            </w:r>
          </w:p>
        </w:tc>
        <w:tc>
          <w:tcPr>
            <w:tcW w:w="1526"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2 patiekimas</w:t>
            </w:r>
          </w:p>
        </w:tc>
      </w:tr>
      <w:tr>
        <w:trPr/>
        <w:tc>
          <w:tcPr>
            <w:tcW w:w="171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1</w:t>
            </w:r>
          </w:p>
        </w:tc>
        <w:tc>
          <w:tcPr>
            <w:tcW w:w="125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en-US" w:eastAsia="en-US" w:bidi="lt-LT"/>
              </w:rPr>
              <w:t>11.00</w:t>
            </w:r>
            <w:r>
              <w:rPr>
                <w:rFonts w:eastAsia="Times New Roman" w:cs="Times New Roman" w:ascii="Times New Roman" w:hAnsi="Times New Roman"/>
                <w:kern w:val="0"/>
                <w:sz w:val="24"/>
                <w:szCs w:val="24"/>
                <w:lang w:val="lt-LT" w:eastAsia="en-US" w:bidi="lt-LT"/>
              </w:rPr>
              <w:t> val.</w:t>
            </w:r>
          </w:p>
        </w:tc>
        <w:tc>
          <w:tcPr>
            <w:tcW w:w="1714"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11.20</w:t>
            </w:r>
            <w:r>
              <w:rPr>
                <w:rFonts w:eastAsia="Times New Roman" w:cs="Times New Roman" w:ascii="Times New Roman" w:hAnsi="Times New Roman"/>
                <w:kern w:val="0"/>
                <w:sz w:val="24"/>
                <w:szCs w:val="24"/>
                <w:lang w:val="lt-LT" w:eastAsia="en-US" w:bidi="lt-LT"/>
              </w:rPr>
              <w:t> val.</w:t>
            </w:r>
          </w:p>
        </w:tc>
        <w:tc>
          <w:tcPr>
            <w:tcW w:w="152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11.50</w:t>
            </w:r>
            <w:r>
              <w:rPr>
                <w:rFonts w:eastAsia="Times New Roman" w:cs="Times New Roman" w:ascii="Times New Roman" w:hAnsi="Times New Roman"/>
                <w:kern w:val="0"/>
                <w:sz w:val="24"/>
                <w:szCs w:val="24"/>
                <w:lang w:val="lt-LT" w:eastAsia="en-US" w:bidi="lt-LT"/>
              </w:rPr>
              <w:t> val.</w:t>
            </w:r>
          </w:p>
        </w:tc>
      </w:tr>
      <w:tr>
        <w:trPr/>
        <w:tc>
          <w:tcPr>
            <w:tcW w:w="171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2</w:t>
            </w:r>
          </w:p>
        </w:tc>
        <w:tc>
          <w:tcPr>
            <w:tcW w:w="125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en-US" w:eastAsia="en-US" w:bidi="lt-LT"/>
              </w:rPr>
              <w:t>11.10</w:t>
            </w:r>
            <w:r>
              <w:rPr>
                <w:rFonts w:eastAsia="Times New Roman" w:cs="Times New Roman" w:ascii="Times New Roman" w:hAnsi="Times New Roman"/>
                <w:kern w:val="0"/>
                <w:sz w:val="24"/>
                <w:szCs w:val="24"/>
                <w:lang w:val="lt-LT" w:eastAsia="en-US" w:bidi="lt-LT"/>
              </w:rPr>
              <w:t> val.</w:t>
            </w:r>
          </w:p>
        </w:tc>
        <w:tc>
          <w:tcPr>
            <w:tcW w:w="1714"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11.30</w:t>
            </w:r>
            <w:r>
              <w:rPr>
                <w:rFonts w:eastAsia="Times New Roman" w:cs="Times New Roman" w:ascii="Times New Roman" w:hAnsi="Times New Roman"/>
                <w:kern w:val="0"/>
                <w:sz w:val="24"/>
                <w:szCs w:val="24"/>
                <w:lang w:val="lt-LT" w:eastAsia="en-US" w:bidi="lt-LT"/>
              </w:rPr>
              <w:t> val.</w:t>
            </w:r>
          </w:p>
        </w:tc>
        <w:tc>
          <w:tcPr>
            <w:tcW w:w="152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12.00</w:t>
            </w:r>
            <w:r>
              <w:rPr>
                <w:rFonts w:eastAsia="Times New Roman" w:cs="Times New Roman" w:ascii="Times New Roman" w:hAnsi="Times New Roman"/>
                <w:kern w:val="0"/>
                <w:sz w:val="24"/>
                <w:szCs w:val="24"/>
                <w:lang w:val="lt-LT" w:eastAsia="en-US" w:bidi="lt-LT"/>
              </w:rPr>
              <w:t> val.</w:t>
            </w:r>
          </w:p>
        </w:tc>
      </w:tr>
      <w:tr>
        <w:trPr/>
        <w:tc>
          <w:tcPr>
            <w:tcW w:w="171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3</w:t>
            </w:r>
          </w:p>
        </w:tc>
        <w:tc>
          <w:tcPr>
            <w:tcW w:w="125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en-US" w:eastAsia="en-US" w:bidi="lt-LT"/>
              </w:rPr>
              <w:t>12.10</w:t>
            </w:r>
            <w:r>
              <w:rPr>
                <w:rFonts w:eastAsia="Times New Roman" w:cs="Times New Roman" w:ascii="Times New Roman" w:hAnsi="Times New Roman"/>
                <w:kern w:val="0"/>
                <w:sz w:val="24"/>
                <w:szCs w:val="24"/>
                <w:lang w:val="lt-LT" w:eastAsia="en-US" w:bidi="lt-LT"/>
              </w:rPr>
              <w:t> val.</w:t>
            </w:r>
          </w:p>
        </w:tc>
        <w:tc>
          <w:tcPr>
            <w:tcW w:w="1714"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12.30</w:t>
            </w:r>
            <w:r>
              <w:rPr>
                <w:rFonts w:eastAsia="Times New Roman" w:cs="Times New Roman" w:ascii="Times New Roman" w:hAnsi="Times New Roman"/>
                <w:kern w:val="0"/>
                <w:sz w:val="24"/>
                <w:szCs w:val="24"/>
                <w:lang w:val="lt-LT" w:eastAsia="en-US" w:bidi="lt-LT"/>
              </w:rPr>
              <w:t> val.</w:t>
            </w:r>
          </w:p>
        </w:tc>
        <w:tc>
          <w:tcPr>
            <w:tcW w:w="152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13.00</w:t>
            </w:r>
            <w:r>
              <w:rPr>
                <w:rFonts w:eastAsia="Times New Roman" w:cs="Times New Roman" w:ascii="Times New Roman" w:hAnsi="Times New Roman"/>
                <w:kern w:val="0"/>
                <w:sz w:val="24"/>
                <w:szCs w:val="24"/>
                <w:lang w:val="lt-LT" w:eastAsia="en-US" w:bidi="lt-LT"/>
              </w:rPr>
              <w:t> val.</w:t>
            </w:r>
          </w:p>
        </w:tc>
      </w:tr>
      <w:tr>
        <w:trPr/>
        <w:tc>
          <w:tcPr>
            <w:tcW w:w="171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4</w:t>
            </w:r>
          </w:p>
        </w:tc>
        <w:tc>
          <w:tcPr>
            <w:tcW w:w="125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en-US" w:eastAsia="en-US" w:bidi="lt-LT"/>
              </w:rPr>
              <w:t>12.20</w:t>
            </w:r>
            <w:r>
              <w:rPr>
                <w:rFonts w:eastAsia="Times New Roman" w:cs="Times New Roman" w:ascii="Times New Roman" w:hAnsi="Times New Roman"/>
                <w:kern w:val="0"/>
                <w:sz w:val="24"/>
                <w:szCs w:val="24"/>
                <w:lang w:val="lt-LT" w:eastAsia="en-US" w:bidi="lt-LT"/>
              </w:rPr>
              <w:t> val.</w:t>
            </w:r>
          </w:p>
        </w:tc>
        <w:tc>
          <w:tcPr>
            <w:tcW w:w="1714"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12.40</w:t>
            </w:r>
            <w:r>
              <w:rPr>
                <w:rFonts w:eastAsia="Times New Roman" w:cs="Times New Roman" w:ascii="Times New Roman" w:hAnsi="Times New Roman"/>
                <w:kern w:val="0"/>
                <w:sz w:val="24"/>
                <w:szCs w:val="24"/>
                <w:lang w:val="lt-LT" w:eastAsia="en-US" w:bidi="lt-LT"/>
              </w:rPr>
              <w:t> val.</w:t>
            </w:r>
          </w:p>
        </w:tc>
        <w:tc>
          <w:tcPr>
            <w:tcW w:w="152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13.10</w:t>
            </w:r>
            <w:r>
              <w:rPr>
                <w:rFonts w:eastAsia="Times New Roman" w:cs="Times New Roman" w:ascii="Times New Roman" w:hAnsi="Times New Roman"/>
                <w:kern w:val="0"/>
                <w:sz w:val="24"/>
                <w:szCs w:val="24"/>
                <w:lang w:val="lt-LT" w:eastAsia="en-US" w:bidi="lt-LT"/>
              </w:rPr>
              <w:t> val.</w:t>
            </w:r>
          </w:p>
        </w:tc>
      </w:tr>
      <w:tr>
        <w:trPr/>
        <w:tc>
          <w:tcPr>
            <w:tcW w:w="171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5</w:t>
            </w:r>
          </w:p>
        </w:tc>
        <w:tc>
          <w:tcPr>
            <w:tcW w:w="125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en-US" w:eastAsia="en-US" w:bidi="lt-LT"/>
              </w:rPr>
              <w:t>13.20</w:t>
            </w:r>
            <w:r>
              <w:rPr>
                <w:rFonts w:eastAsia="Times New Roman" w:cs="Times New Roman" w:ascii="Times New Roman" w:hAnsi="Times New Roman"/>
                <w:kern w:val="0"/>
                <w:sz w:val="24"/>
                <w:szCs w:val="24"/>
                <w:lang w:val="lt-LT" w:eastAsia="en-US" w:bidi="lt-LT"/>
              </w:rPr>
              <w:t> val.</w:t>
            </w:r>
          </w:p>
        </w:tc>
        <w:tc>
          <w:tcPr>
            <w:tcW w:w="1714"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13.40</w:t>
            </w:r>
            <w:r>
              <w:rPr>
                <w:rFonts w:eastAsia="Times New Roman" w:cs="Times New Roman" w:ascii="Times New Roman" w:hAnsi="Times New Roman"/>
                <w:kern w:val="0"/>
                <w:sz w:val="24"/>
                <w:szCs w:val="24"/>
                <w:lang w:val="lt-LT" w:eastAsia="en-US" w:bidi="lt-LT"/>
              </w:rPr>
              <w:t> val.</w:t>
            </w:r>
          </w:p>
        </w:tc>
        <w:tc>
          <w:tcPr>
            <w:tcW w:w="152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14.10</w:t>
            </w:r>
            <w:r>
              <w:rPr>
                <w:rFonts w:eastAsia="Times New Roman" w:cs="Times New Roman" w:ascii="Times New Roman" w:hAnsi="Times New Roman"/>
                <w:kern w:val="0"/>
                <w:sz w:val="24"/>
                <w:szCs w:val="24"/>
                <w:lang w:val="lt-LT" w:eastAsia="en-US" w:bidi="lt-LT"/>
              </w:rPr>
              <w:t> val.</w:t>
            </w:r>
          </w:p>
        </w:tc>
      </w:tr>
      <w:tr>
        <w:trPr/>
        <w:tc>
          <w:tcPr>
            <w:tcW w:w="171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lt-LT" w:eastAsia="en-US" w:bidi="lt-LT"/>
              </w:rPr>
              <w:t>6</w:t>
            </w:r>
          </w:p>
        </w:tc>
        <w:tc>
          <w:tcPr>
            <w:tcW w:w="1253" w:type="dxa"/>
            <w:tcBorders/>
          </w:tcPr>
          <w:p>
            <w:pPr>
              <w:pStyle w:val="Normal"/>
              <w:widowControl w:val="false"/>
              <w:suppressAutoHyphens w:val="true"/>
              <w:spacing w:lineRule="auto" w:line="240" w:before="0" w:after="0"/>
              <w:jc w:val="left"/>
              <w:rPr>
                <w:rFonts w:ascii="Times New Roman" w:hAnsi="Times New Roman" w:cs="Times New Roman"/>
                <w:sz w:val="24"/>
                <w:szCs w:val="24"/>
                <w:lang w:val="lt-LT"/>
              </w:rPr>
            </w:pPr>
            <w:r>
              <w:rPr>
                <w:rFonts w:eastAsia="Times New Roman" w:cs="Times New Roman" w:ascii="Times New Roman" w:hAnsi="Times New Roman"/>
                <w:kern w:val="0"/>
                <w:sz w:val="24"/>
                <w:szCs w:val="24"/>
                <w:lang w:val="en-US" w:eastAsia="en-US" w:bidi="lt-LT"/>
              </w:rPr>
              <w:t>13.30</w:t>
            </w:r>
            <w:r>
              <w:rPr>
                <w:rFonts w:eastAsia="Times New Roman" w:cs="Times New Roman" w:ascii="Times New Roman" w:hAnsi="Times New Roman"/>
                <w:kern w:val="0"/>
                <w:sz w:val="24"/>
                <w:szCs w:val="24"/>
                <w:lang w:val="lt-LT" w:eastAsia="en-US" w:bidi="lt-LT"/>
              </w:rPr>
              <w:t> val.</w:t>
            </w:r>
          </w:p>
        </w:tc>
        <w:tc>
          <w:tcPr>
            <w:tcW w:w="1714"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14.00</w:t>
            </w:r>
            <w:r>
              <w:rPr>
                <w:rFonts w:eastAsia="Times New Roman" w:cs="Times New Roman" w:ascii="Times New Roman" w:hAnsi="Times New Roman"/>
                <w:kern w:val="0"/>
                <w:sz w:val="24"/>
                <w:szCs w:val="24"/>
                <w:lang w:val="lt-LT" w:eastAsia="en-US" w:bidi="lt-LT"/>
              </w:rPr>
              <w:t> val.</w:t>
            </w:r>
          </w:p>
        </w:tc>
        <w:tc>
          <w:tcPr>
            <w:tcW w:w="152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kern w:val="0"/>
                <w:sz w:val="24"/>
                <w:szCs w:val="24"/>
                <w:lang w:val="en-US" w:eastAsia="en-US" w:bidi="lt-LT"/>
              </w:rPr>
              <w:t>14.30</w:t>
            </w:r>
            <w:r>
              <w:rPr>
                <w:rFonts w:eastAsia="Times New Roman" w:cs="Times New Roman" w:ascii="Times New Roman" w:hAnsi="Times New Roman"/>
                <w:kern w:val="0"/>
                <w:sz w:val="24"/>
                <w:szCs w:val="24"/>
                <w:lang w:val="lt-LT" w:eastAsia="en-US" w:bidi="lt-LT"/>
              </w:rPr>
              <w:t> val.</w:t>
            </w:r>
          </w:p>
        </w:tc>
      </w:tr>
    </w:tbl>
    <w:p>
      <w:pPr>
        <w:pStyle w:val="ListParagraph"/>
        <w:ind w:left="1224" w:hanging="0"/>
        <w:rPr>
          <w:rFonts w:ascii="Times New Roman" w:hAnsi="Times New Roman" w:cs="Times New Roman"/>
          <w:color w:val="000000" w:themeColor="text1"/>
          <w:sz w:val="24"/>
          <w:szCs w:val="24"/>
          <w:lang w:val="lt-LT"/>
        </w:rPr>
      </w:pPr>
      <w:r>
        <w:rPr>
          <w:rFonts w:cs="Times New Roman" w:ascii="Times New Roman" w:hAnsi="Times New Roman"/>
          <w:color w:val="000000" w:themeColor="text1"/>
          <w:sz w:val="24"/>
          <w:szCs w:val="24"/>
          <w:lang w:val="lt-LT"/>
        </w:rPr>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b/>
          <w:sz w:val="24"/>
          <w:szCs w:val="24"/>
          <w:lang w:val="lt-LT" w:bidi="lt-LT"/>
        </w:rPr>
        <w:t xml:space="preserve">Klasikinė pica </w:t>
      </w:r>
    </w:p>
    <w:p>
      <w:pPr>
        <w:pStyle w:val="ListParagraph"/>
        <w:numPr>
          <w:ilvl w:val="2"/>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w:t>
      </w:r>
      <w:r>
        <w:rPr>
          <w:rFonts w:eastAsia="Times New Roman" w:cs="Times New Roman" w:ascii="Times New Roman" w:hAnsi="Times New Roman"/>
          <w:sz w:val="24"/>
          <w:szCs w:val="24"/>
          <w:lang w:val="lt-LT" w:bidi="lt-LT"/>
        </w:rPr>
        <w:t xml:space="preserve">Klasikinės picos“ („Margarita“) konkurse picos bus kepamos elektrinėje krosnyje. </w:t>
      </w:r>
      <w:r>
        <w:rPr>
          <w:rFonts w:eastAsia="Times New Roman" w:cs="Times New Roman" w:ascii="Times New Roman" w:hAnsi="Times New Roman"/>
          <w:color w:val="000000" w:themeColor="text1"/>
          <w:sz w:val="24"/>
          <w:szCs w:val="24"/>
          <w:lang w:val="lt-LT" w:bidi="lt-LT"/>
        </w:rPr>
        <w:t xml:space="preserve">Tešlos burbuliuko svoris </w:t>
      </w:r>
      <w:r>
        <w:rPr>
          <w:rFonts w:eastAsia="Times New Roman" w:cs="Times New Roman" w:ascii="Times New Roman" w:hAnsi="Times New Roman"/>
          <w:color w:val="000000" w:themeColor="text1"/>
          <w:sz w:val="24"/>
          <w:szCs w:val="24"/>
          <w:lang w:val="en-US" w:bidi="lt-LT"/>
        </w:rPr>
        <w:t>280 gr. Picos skersmuo 28-32 cm.</w:t>
      </w:r>
    </w:p>
    <w:p>
      <w:pPr>
        <w:pStyle w:val="ListParagraph"/>
        <w:numPr>
          <w:ilvl w:val="2"/>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Šioje kategorijoje maksimali konkurso trukmė – 15 minučių.</w:t>
      </w:r>
    </w:p>
    <w:p>
      <w:pPr>
        <w:pStyle w:val="ListParagraph"/>
        <w:numPr>
          <w:ilvl w:val="1"/>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b/>
          <w:sz w:val="24"/>
          <w:szCs w:val="24"/>
          <w:lang w:val="lt-LT" w:bidi="lt-LT"/>
        </w:rPr>
        <w:t xml:space="preserve">Pica ant ližės </w:t>
      </w:r>
    </w:p>
    <w:p>
      <w:pPr>
        <w:pStyle w:val="ListParagraph"/>
        <w:numPr>
          <w:ilvl w:val="2"/>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w:t>
      </w:r>
      <w:r>
        <w:rPr>
          <w:rFonts w:eastAsia="Times New Roman" w:cs="Times New Roman" w:ascii="Times New Roman" w:hAnsi="Times New Roman"/>
          <w:sz w:val="24"/>
          <w:szCs w:val="24"/>
          <w:lang w:val="lt-LT" w:bidi="lt-LT"/>
        </w:rPr>
        <w:t xml:space="preserve">Pica ant ližės“. Tešlos burbuliuko svoris </w:t>
      </w:r>
      <w:r>
        <w:rPr>
          <w:rFonts w:eastAsia="Times New Roman" w:cs="Times New Roman" w:ascii="Times New Roman" w:hAnsi="Times New Roman"/>
          <w:sz w:val="24"/>
          <w:szCs w:val="24"/>
          <w:lang w:val="en-US" w:bidi="lt-LT"/>
        </w:rPr>
        <w:t xml:space="preserve">280 gr. Picos skersmuo 28-32 cm. </w:t>
      </w:r>
      <w:r>
        <w:rPr>
          <w:rFonts w:eastAsia="Times New Roman" w:cs="Times New Roman" w:ascii="Times New Roman" w:hAnsi="Times New Roman"/>
          <w:sz w:val="24"/>
          <w:szCs w:val="24"/>
          <w:lang w:val="lt-LT" w:bidi="lt-LT"/>
        </w:rPr>
        <w:t>„</w:t>
      </w:r>
      <w:r>
        <w:rPr>
          <w:rFonts w:eastAsia="Times New Roman" w:cs="Times New Roman" w:ascii="Times New Roman" w:hAnsi="Times New Roman"/>
          <w:sz w:val="24"/>
          <w:szCs w:val="24"/>
          <w:lang w:val="en-US" w:bidi="lt-LT"/>
        </w:rPr>
        <w:t xml:space="preserve">Pica ant </w:t>
      </w:r>
      <w:r>
        <w:rPr>
          <w:rFonts w:eastAsia="Times New Roman" w:cs="Times New Roman" w:ascii="Times New Roman" w:hAnsi="Times New Roman"/>
          <w:sz w:val="24"/>
          <w:szCs w:val="24"/>
          <w:lang w:val="lt-LT" w:bidi="lt-LT"/>
        </w:rPr>
        <w:t xml:space="preserve">ližės“ dedama į krosnį ir iš jos išimama ant </w:t>
      </w:r>
      <w:r>
        <w:rPr>
          <w:rFonts w:eastAsia="Times New Roman" w:cs="Times New Roman" w:ascii="Times New Roman" w:hAnsi="Times New Roman"/>
          <w:sz w:val="24"/>
          <w:szCs w:val="24"/>
          <w:lang w:val="en-US" w:bidi="lt-LT"/>
        </w:rPr>
        <w:t>3</w:t>
      </w:r>
      <w:r>
        <w:rPr>
          <w:rFonts w:eastAsia="Times New Roman" w:cs="Times New Roman" w:ascii="Times New Roman" w:hAnsi="Times New Roman"/>
          <w:sz w:val="24"/>
          <w:szCs w:val="24"/>
          <w:lang w:val="lt-LT" w:bidi="lt-LT"/>
        </w:rPr>
        <w:t xml:space="preserve">0 x 35 dydžio organizatoriaus pateiktos ližės. </w:t>
      </w:r>
    </w:p>
    <w:p>
      <w:pPr>
        <w:pStyle w:val="ListParagraph"/>
        <w:numPr>
          <w:ilvl w:val="2"/>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sz w:val="24"/>
          <w:szCs w:val="24"/>
          <w:lang w:val="lt-LT" w:bidi="lt-LT"/>
        </w:rPr>
        <w:t>Šioje kategorijoje maksimali konkurso trukmė – 20 minučių.</w:t>
      </w:r>
    </w:p>
    <w:p>
      <w:pPr>
        <w:pStyle w:val="ListParagraph"/>
        <w:ind w:left="1224" w:hanging="0"/>
        <w:rPr>
          <w:rFonts w:ascii="Times New Roman" w:hAnsi="Times New Roman" w:cs="Times New Roman"/>
          <w:color w:val="000000" w:themeColor="text1"/>
          <w:sz w:val="24"/>
          <w:szCs w:val="24"/>
          <w:lang w:val="lt-LT"/>
        </w:rPr>
      </w:pPr>
      <w:r>
        <w:rPr>
          <w:rFonts w:cs="Times New Roman" w:ascii="Times New Roman" w:hAnsi="Times New Roman"/>
          <w:color w:val="000000" w:themeColor="text1"/>
          <w:sz w:val="24"/>
          <w:szCs w:val="24"/>
          <w:lang w:val="lt-LT"/>
        </w:rPr>
      </w:r>
    </w:p>
    <w:p>
      <w:pPr>
        <w:pStyle w:val="ListParagraph"/>
        <w:numPr>
          <w:ilvl w:val="0"/>
          <w:numId w:val="1"/>
        </w:numPr>
        <w:rPr>
          <w:rFonts w:ascii="Times New Roman" w:hAnsi="Times New Roman" w:cs="Times New Roman"/>
          <w:color w:val="000000" w:themeColor="text1"/>
          <w:sz w:val="24"/>
          <w:szCs w:val="24"/>
          <w:lang w:val="lt-LT"/>
        </w:rPr>
      </w:pPr>
      <w:r>
        <w:rPr>
          <w:rFonts w:eastAsia="Times New Roman" w:cs="Times New Roman" w:ascii="Times New Roman" w:hAnsi="Times New Roman"/>
          <w:b/>
          <w:sz w:val="24"/>
          <w:szCs w:val="24"/>
          <w:lang w:val="lt-LT" w:bidi="lt-LT"/>
        </w:rPr>
        <w:t>TECHNINĖ ĮRANGA</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Organizatorius aprūpina konkursantus picų ruošimo ir kepimo įranga ir krosnimi </w:t>
      </w:r>
      <w:r>
        <w:rPr>
          <w:rFonts w:eastAsia="Times New Roman" w:cs="Times New Roman" w:ascii="Times New Roman" w:hAnsi="Times New Roman"/>
          <w:b/>
          <w:sz w:val="24"/>
          <w:szCs w:val="24"/>
          <w:lang w:val="lt-LT" w:bidi="lt-LT"/>
        </w:rPr>
        <w:t>„Pizzauuni Metos Mora P22HT“</w:t>
      </w:r>
      <w:r>
        <w:rPr>
          <w:rFonts w:eastAsia="Times New Roman" w:cs="Times New Roman" w:ascii="Times New Roman" w:hAnsi="Times New Roman"/>
          <w:sz w:val="24"/>
          <w:szCs w:val="24"/>
          <w:lang w:val="lt-LT" w:bidi="lt-LT"/>
        </w:rPr>
        <w:t xml:space="preserve">, metaliniu </w:t>
      </w:r>
      <w:r>
        <w:rPr>
          <w:rFonts w:eastAsia="Times New Roman" w:cs="Times New Roman" w:ascii="Times New Roman" w:hAnsi="Times New Roman"/>
          <w:sz w:val="24"/>
          <w:szCs w:val="24"/>
          <w:lang w:val="en-US" w:bidi="lt-LT"/>
        </w:rPr>
        <w:t>darbo stalu, pic</w:t>
      </w:r>
      <w:r>
        <w:rPr>
          <w:rFonts w:eastAsia="Times New Roman" w:cs="Times New Roman" w:ascii="Times New Roman" w:hAnsi="Times New Roman"/>
          <w:sz w:val="24"/>
          <w:szCs w:val="24"/>
          <w:lang w:val="lt-LT" w:bidi="lt-LT"/>
        </w:rPr>
        <w:t>ų liže.</w:t>
        <w:br/>
      </w:r>
      <w:r>
        <w:rPr/>
        <w:drawing>
          <wp:inline distT="0" distB="0" distL="0" distR="0">
            <wp:extent cx="1899920" cy="2619375"/>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3"/>
                    <a:stretch>
                      <a:fillRect/>
                    </a:stretch>
                  </pic:blipFill>
                  <pic:spPr bwMode="auto">
                    <a:xfrm>
                      <a:off x="0" y="0"/>
                      <a:ext cx="1899920" cy="2619375"/>
                    </a:xfrm>
                    <a:prstGeom prst="rect">
                      <a:avLst/>
                    </a:prstGeom>
                  </pic:spPr>
                </pic:pic>
              </a:graphicData>
            </a:graphic>
          </wp:inline>
        </w:drawing>
      </w:r>
      <w:r>
        <w:rPr>
          <w:lang w:val="lt-LT" w:bidi="lt-LT"/>
        </w:rPr>
        <w:t xml:space="preserve"> </w:t>
      </w:r>
    </w:p>
    <w:p>
      <w:pPr>
        <w:pStyle w:val="ListParagraph"/>
        <w:numPr>
          <w:ilvl w:val="0"/>
          <w:numId w:val="0"/>
        </w:numPr>
        <w:ind w:left="1512" w:hanging="0"/>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Krosnis įkaista iki 500 ºC temperatūros. Kepimo paviršiaus talpa (vidinis akmens dydis) 74 x 54 cm, „Biscotti Di Sorrento“ kepimo akmenys. Vienos kameros 4 x 35 cm dydžio picos matmenys: 1160 x 750 x 1850 mm</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Konkursantas turi atsinešti savo porą lėkščių picoms patiekti. Dalyvis turi pasirūpinti picos peiliu ir kitu smulkiu inventoriumi. </w:t>
      </w:r>
    </w:p>
    <w:p>
      <w:pPr>
        <w:pStyle w:val="Normal"/>
        <w:rPr>
          <w:lang w:val="lt-LT"/>
        </w:rPr>
      </w:pPr>
      <w:r>
        <w:rPr>
          <w:lang w:val="lt-LT"/>
        </w:rPr>
      </w:r>
    </w:p>
    <w:p>
      <w:pPr>
        <w:pStyle w:val="Normal"/>
        <w:rPr>
          <w:lang w:val="lt-LT"/>
        </w:rPr>
      </w:pPr>
      <w:r>
        <w:rPr>
          <w:lang w:val="lt-LT"/>
        </w:rPr>
      </w:r>
      <w:r>
        <w:br w:type="page"/>
      </w:r>
    </w:p>
    <w:tbl>
      <w:tblPr>
        <w:tblW w:w="8798" w:type="dxa"/>
        <w:jc w:val="left"/>
        <w:tblInd w:w="0" w:type="dxa"/>
        <w:tblLayout w:type="fixed"/>
        <w:tblCellMar>
          <w:top w:w="28" w:type="dxa"/>
          <w:left w:w="57" w:type="dxa"/>
          <w:bottom w:w="0" w:type="dxa"/>
          <w:right w:w="57" w:type="dxa"/>
        </w:tblCellMar>
        <w:tblLook w:firstRow="0" w:noVBand="0" w:lastRow="0" w:firstColumn="0" w:lastColumn="0" w:noHBand="0" w:val="0000"/>
      </w:tblPr>
      <w:tblGrid>
        <w:gridCol w:w="2246"/>
        <w:gridCol w:w="826"/>
        <w:gridCol w:w="704"/>
        <w:gridCol w:w="688"/>
        <w:gridCol w:w="4334"/>
      </w:tblGrid>
      <w:tr>
        <w:trPr>
          <w:trHeight w:val="1378" w:hRule="atLeast"/>
          <w:cantSplit w:val="true"/>
        </w:trPr>
        <w:tc>
          <w:tcPr>
            <w:tcW w:w="224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pageBreakBefore/>
              <w:widowControl w:val="false"/>
              <w:spacing w:lineRule="auto" w:line="240" w:before="0" w:after="0"/>
              <w:jc w:val="center"/>
              <w:rPr>
                <w:sz w:val="12"/>
                <w:szCs w:val="12"/>
                <w:lang w:val="lt-LT"/>
              </w:rPr>
            </w:pPr>
            <w:r>
              <w:rPr/>
              <w:drawing>
                <wp:inline distT="0" distB="0" distL="0" distR="0">
                  <wp:extent cx="1039495" cy="652780"/>
                  <wp:effectExtent l="0" t="0" r="0" b="0"/>
                  <wp:docPr id="2" name="Picut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utre 1" descr=""/>
                          <pic:cNvPicPr>
                            <a:picLocks noChangeAspect="1" noChangeArrowheads="1"/>
                          </pic:cNvPicPr>
                        </pic:nvPicPr>
                        <pic:blipFill>
                          <a:blip r:embed="rId4"/>
                          <a:srcRect l="20091" t="7434" r="6991" b="12345"/>
                          <a:stretch>
                            <a:fillRect/>
                          </a:stretch>
                        </pic:blipFill>
                        <pic:spPr bwMode="auto">
                          <a:xfrm>
                            <a:off x="0" y="0"/>
                            <a:ext cx="1039495" cy="652780"/>
                          </a:xfrm>
                          <a:prstGeom prst="rect">
                            <a:avLst/>
                          </a:prstGeom>
                        </pic:spPr>
                      </pic:pic>
                    </a:graphicData>
                  </a:graphic>
                </wp:inline>
              </w:drawing>
            </w:r>
          </w:p>
        </w:tc>
        <w:tc>
          <w:tcPr>
            <w:tcW w:w="82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ANE-32R.F</w:t>
            </w:r>
          </w:p>
        </w:tc>
        <w:tc>
          <w:tcPr>
            <w:tcW w:w="704"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33s33 su rankena 120 cm</w:t>
            </w:r>
          </w:p>
        </w:tc>
        <w:tc>
          <w:tcPr>
            <w:tcW w:w="688"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2</w:t>
            </w:r>
          </w:p>
        </w:tc>
        <w:tc>
          <w:tcPr>
            <w:tcW w:w="4334" w:type="dxa"/>
            <w:tcBorders>
              <w:left w:val="single" w:sz="8" w:space="0" w:color="000000"/>
            </w:tcBorders>
            <w:shd w:color="auto" w:fill="FFFFFF" w:val="clear"/>
          </w:tcPr>
          <w:p>
            <w:pPr>
              <w:pStyle w:val="Normal"/>
              <w:widowControl w:val="false"/>
              <w:spacing w:lineRule="auto" w:line="240" w:before="0" w:after="0"/>
              <w:rPr>
                <w:sz w:val="16"/>
                <w:szCs w:val="16"/>
                <w:lang w:val="lt-LT"/>
              </w:rPr>
            </w:pPr>
            <w:r>
              <w:rPr>
                <w:sz w:val="16"/>
                <w:szCs w:val="16"/>
                <w:lang w:val="lt-LT"/>
              </w:rPr>
            </w:r>
          </w:p>
        </w:tc>
      </w:tr>
      <w:tr>
        <w:trPr>
          <w:trHeight w:val="1058" w:hRule="atLeast"/>
          <w:cantSplit w:val="true"/>
        </w:trPr>
        <w:tc>
          <w:tcPr>
            <w:tcW w:w="224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sz w:val="12"/>
                <w:szCs w:val="12"/>
                <w:lang w:val="lt-LT"/>
              </w:rPr>
            </w:pPr>
            <w:r>
              <w:rPr/>
              <w:drawing>
                <wp:inline distT="0" distB="0" distL="0" distR="0">
                  <wp:extent cx="908685" cy="377190"/>
                  <wp:effectExtent l="0" t="0" r="0" b="0"/>
                  <wp:docPr id="3" name="Picutre 2" descr="A close-up of a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utre 2" descr="A close-up of a net&#10;&#10;Description automatically generated"/>
                          <pic:cNvPicPr>
                            <a:picLocks noChangeAspect="1" noChangeArrowheads="1"/>
                          </pic:cNvPicPr>
                        </pic:nvPicPr>
                        <pic:blipFill>
                          <a:blip r:embed="rId5"/>
                          <a:srcRect l="18703" t="16022" r="17592" b="12831"/>
                          <a:stretch>
                            <a:fillRect/>
                          </a:stretch>
                        </pic:blipFill>
                        <pic:spPr bwMode="auto">
                          <a:xfrm>
                            <a:off x="0" y="0"/>
                            <a:ext cx="908685" cy="377190"/>
                          </a:xfrm>
                          <a:prstGeom prst="rect">
                            <a:avLst/>
                          </a:prstGeom>
                        </pic:spPr>
                      </pic:pic>
                    </a:graphicData>
                  </a:graphic>
                </wp:inline>
              </w:drawing>
            </w:r>
          </w:p>
        </w:tc>
        <w:tc>
          <w:tcPr>
            <w:tcW w:w="82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I-20F/120</w:t>
            </w:r>
          </w:p>
        </w:tc>
        <w:tc>
          <w:tcPr>
            <w:tcW w:w="704"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galva 20 cm rankena 120 cm</w:t>
            </w:r>
          </w:p>
        </w:tc>
        <w:tc>
          <w:tcPr>
            <w:tcW w:w="688"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2</w:t>
            </w:r>
          </w:p>
        </w:tc>
        <w:tc>
          <w:tcPr>
            <w:tcW w:w="4334" w:type="dxa"/>
            <w:vMerge w:val="restart"/>
            <w:tcBorders>
              <w:left w:val="single" w:sz="8" w:space="0" w:color="000000"/>
            </w:tcBorders>
            <w:shd w:color="auto" w:fill="FFFFFF" w:val="clear"/>
            <w:vAlign w:val="bottom"/>
          </w:tcPr>
          <w:p>
            <w:pPr>
              <w:pStyle w:val="Normal"/>
              <w:widowControl w:val="false"/>
              <w:spacing w:lineRule="auto" w:line="240" w:before="0" w:after="0"/>
              <w:jc w:val="right"/>
              <w:rPr>
                <w:sz w:val="16"/>
                <w:szCs w:val="16"/>
                <w:lang w:val="lt-LT"/>
              </w:rPr>
            </w:pPr>
            <w:r>
              <w:rPr/>
              <w:drawing>
                <wp:inline distT="0" distB="0" distL="0" distR="0">
                  <wp:extent cx="2655570" cy="2800350"/>
                  <wp:effectExtent l="0" t="0" r="0" b="0"/>
                  <wp:docPr id="4" name="Picture 1455672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55672435" descr=""/>
                          <pic:cNvPicPr>
                            <a:picLocks noChangeAspect="1" noChangeArrowheads="1"/>
                          </pic:cNvPicPr>
                        </pic:nvPicPr>
                        <pic:blipFill>
                          <a:blip r:embed="rId6"/>
                          <a:stretch>
                            <a:fillRect/>
                          </a:stretch>
                        </pic:blipFill>
                        <pic:spPr bwMode="auto">
                          <a:xfrm>
                            <a:off x="0" y="0"/>
                            <a:ext cx="2655570" cy="2800350"/>
                          </a:xfrm>
                          <a:prstGeom prst="rect">
                            <a:avLst/>
                          </a:prstGeom>
                        </pic:spPr>
                      </pic:pic>
                    </a:graphicData>
                  </a:graphic>
                </wp:inline>
              </w:drawing>
            </w:r>
          </w:p>
        </w:tc>
      </w:tr>
      <w:tr>
        <w:trPr>
          <w:trHeight w:val="919" w:hRule="atLeast"/>
          <w:cantSplit w:val="true"/>
        </w:trPr>
        <w:tc>
          <w:tcPr>
            <w:tcW w:w="224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sz w:val="12"/>
                <w:szCs w:val="12"/>
                <w:lang w:val="lt-LT"/>
              </w:rPr>
            </w:pPr>
            <w:r>
              <w:rPr/>
              <w:drawing>
                <wp:inline distT="0" distB="0" distL="0" distR="0">
                  <wp:extent cx="894080" cy="361950"/>
                  <wp:effectExtent l="0" t="0" r="0" b="0"/>
                  <wp:docPr id="5" name="Picutre 3" descr="A brush with a blue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utre 3" descr="A brush with a blue handle&#10;&#10;Description automatically generated"/>
                          <pic:cNvPicPr>
                            <a:picLocks noChangeAspect="1" noChangeArrowheads="1"/>
                          </pic:cNvPicPr>
                        </pic:nvPicPr>
                        <pic:blipFill>
                          <a:blip r:embed="rId7"/>
                          <a:srcRect l="17996" t="20624" r="19334" b="24398"/>
                          <a:stretch>
                            <a:fillRect/>
                          </a:stretch>
                        </pic:blipFill>
                        <pic:spPr bwMode="auto">
                          <a:xfrm>
                            <a:off x="0" y="0"/>
                            <a:ext cx="894080" cy="361950"/>
                          </a:xfrm>
                          <a:prstGeom prst="rect">
                            <a:avLst/>
                          </a:prstGeom>
                        </pic:spPr>
                      </pic:pic>
                    </a:graphicData>
                  </a:graphic>
                </wp:inline>
              </w:drawing>
            </w:r>
          </w:p>
        </w:tc>
        <w:tc>
          <w:tcPr>
            <w:tcW w:w="82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AC-SP3/120</w:t>
            </w:r>
          </w:p>
        </w:tc>
        <w:tc>
          <w:tcPr>
            <w:tcW w:w="704"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rankena 120 cm</w:t>
            </w:r>
          </w:p>
        </w:tc>
        <w:tc>
          <w:tcPr>
            <w:tcW w:w="688"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2</w:t>
            </w:r>
          </w:p>
        </w:tc>
        <w:tc>
          <w:tcPr>
            <w:tcW w:w="4334" w:type="dxa"/>
            <w:vMerge w:val="continue"/>
            <w:tcBorders>
              <w:top w:val="single" w:sz="8" w:space="0" w:color="000000"/>
              <w:left w:val="single" w:sz="8" w:space="0" w:color="000000"/>
            </w:tcBorders>
            <w:shd w:color="auto" w:fill="FFFFFF" w:val="clear"/>
          </w:tcPr>
          <w:p>
            <w:pPr>
              <w:pStyle w:val="Normal"/>
              <w:widowControl w:val="false"/>
              <w:spacing w:lineRule="auto" w:line="240" w:before="0" w:after="0"/>
              <w:rPr>
                <w:sz w:val="16"/>
                <w:szCs w:val="16"/>
                <w:lang w:val="lt-LT"/>
              </w:rPr>
            </w:pPr>
            <w:r>
              <w:rPr>
                <w:sz w:val="16"/>
                <w:szCs w:val="16"/>
                <w:lang w:val="lt-LT"/>
              </w:rPr>
            </w:r>
          </w:p>
        </w:tc>
      </w:tr>
      <w:tr>
        <w:trPr>
          <w:trHeight w:val="1046" w:hRule="atLeast"/>
          <w:cantSplit w:val="true"/>
        </w:trPr>
        <w:tc>
          <w:tcPr>
            <w:tcW w:w="224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sz w:val="12"/>
                <w:szCs w:val="12"/>
                <w:lang w:val="lt-LT"/>
              </w:rPr>
            </w:pPr>
            <w:r>
              <w:rPr/>
              <w:drawing>
                <wp:inline distT="0" distB="0" distL="0" distR="0">
                  <wp:extent cx="1059180" cy="346710"/>
                  <wp:effectExtent l="0" t="0" r="0" b="0"/>
                  <wp:docPr id="6" name="Picut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utre 4" descr=""/>
                          <pic:cNvPicPr>
                            <a:picLocks noChangeAspect="1" noChangeArrowheads="1"/>
                          </pic:cNvPicPr>
                        </pic:nvPicPr>
                        <pic:blipFill>
                          <a:blip r:embed="rId8"/>
                          <a:srcRect l="13049" t="20421" r="12645" b="35394"/>
                          <a:stretch>
                            <a:fillRect/>
                          </a:stretch>
                        </pic:blipFill>
                        <pic:spPr bwMode="auto">
                          <a:xfrm>
                            <a:off x="0" y="0"/>
                            <a:ext cx="1059180" cy="346710"/>
                          </a:xfrm>
                          <a:prstGeom prst="rect">
                            <a:avLst/>
                          </a:prstGeom>
                        </pic:spPr>
                      </pic:pic>
                    </a:graphicData>
                  </a:graphic>
                </wp:inline>
              </w:drawing>
            </w:r>
          </w:p>
        </w:tc>
        <w:tc>
          <w:tcPr>
            <w:tcW w:w="82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AC-ROM</w:t>
            </w:r>
          </w:p>
        </w:tc>
        <w:tc>
          <w:tcPr>
            <w:tcW w:w="704"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bCs/>
                <w:sz w:val="12"/>
                <w:szCs w:val="12"/>
                <w:lang w:val="lt-LT"/>
              </w:rPr>
            </w:r>
          </w:p>
        </w:tc>
        <w:tc>
          <w:tcPr>
            <w:tcW w:w="688"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2</w:t>
            </w:r>
          </w:p>
        </w:tc>
        <w:tc>
          <w:tcPr>
            <w:tcW w:w="4334" w:type="dxa"/>
            <w:vMerge w:val="continue"/>
            <w:tcBorders>
              <w:top w:val="single" w:sz="8" w:space="0" w:color="000000"/>
              <w:left w:val="single" w:sz="8" w:space="0" w:color="000000"/>
            </w:tcBorders>
            <w:shd w:color="auto" w:fill="FFFFFF" w:val="clear"/>
          </w:tcPr>
          <w:p>
            <w:pPr>
              <w:pStyle w:val="Normal"/>
              <w:widowControl w:val="false"/>
              <w:spacing w:lineRule="auto" w:line="240" w:before="0" w:after="0"/>
              <w:rPr>
                <w:sz w:val="16"/>
                <w:szCs w:val="16"/>
                <w:lang w:val="lt-LT"/>
              </w:rPr>
            </w:pPr>
            <w:r>
              <w:rPr>
                <w:sz w:val="16"/>
                <w:szCs w:val="16"/>
                <w:lang w:val="lt-LT"/>
              </w:rPr>
            </w:r>
          </w:p>
        </w:tc>
      </w:tr>
      <w:tr>
        <w:trPr>
          <w:cantSplit w:val="true"/>
        </w:trPr>
        <w:tc>
          <w:tcPr>
            <w:tcW w:w="224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sz w:val="12"/>
                <w:szCs w:val="12"/>
                <w:lang w:val="lt-LT"/>
              </w:rPr>
            </w:pPr>
            <w:r>
              <w:rPr/>
              <w:drawing>
                <wp:inline distT="0" distB="0" distL="0" distR="0">
                  <wp:extent cx="943610" cy="567690"/>
                  <wp:effectExtent l="0" t="0" r="0" b="0"/>
                  <wp:docPr id="7" name="Picut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utre 5" descr=""/>
                          <pic:cNvPicPr>
                            <a:picLocks noChangeAspect="1" noChangeArrowheads="1"/>
                          </pic:cNvPicPr>
                        </pic:nvPicPr>
                        <pic:blipFill>
                          <a:blip r:embed="rId9"/>
                          <a:srcRect l="20444" t="11317" r="13352" b="17248"/>
                          <a:stretch>
                            <a:fillRect/>
                          </a:stretch>
                        </pic:blipFill>
                        <pic:spPr bwMode="auto">
                          <a:xfrm>
                            <a:off x="0" y="0"/>
                            <a:ext cx="943610" cy="567690"/>
                          </a:xfrm>
                          <a:prstGeom prst="rect">
                            <a:avLst/>
                          </a:prstGeom>
                        </pic:spPr>
                      </pic:pic>
                    </a:graphicData>
                  </a:graphic>
                </wp:inline>
              </w:drawing>
            </w:r>
          </w:p>
        </w:tc>
        <w:tc>
          <w:tcPr>
            <w:tcW w:w="826"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AC-STF10</w:t>
            </w:r>
          </w:p>
        </w:tc>
        <w:tc>
          <w:tcPr>
            <w:tcW w:w="704"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bCs/>
                <w:sz w:val="12"/>
                <w:szCs w:val="12"/>
                <w:lang w:val="lt-LT"/>
              </w:rPr>
            </w:r>
          </w:p>
        </w:tc>
        <w:tc>
          <w:tcPr>
            <w:tcW w:w="688"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widowControl w:val="false"/>
              <w:spacing w:lineRule="auto" w:line="240" w:before="0" w:after="0"/>
              <w:jc w:val="center"/>
              <w:rPr>
                <w:b/>
                <w:b/>
                <w:bCs/>
                <w:sz w:val="12"/>
                <w:szCs w:val="12"/>
                <w:lang w:val="lt-LT"/>
              </w:rPr>
            </w:pPr>
            <w:r>
              <w:rPr>
                <w:b/>
                <w:sz w:val="12"/>
                <w:szCs w:val="12"/>
                <w:lang w:val="lt-LT" w:bidi="lt-LT"/>
              </w:rPr>
              <w:t>2</w:t>
            </w:r>
          </w:p>
        </w:tc>
        <w:tc>
          <w:tcPr>
            <w:tcW w:w="4334" w:type="dxa"/>
            <w:vMerge w:val="continue"/>
            <w:tcBorders>
              <w:top w:val="single" w:sz="8" w:space="0" w:color="000000"/>
              <w:left w:val="single" w:sz="8" w:space="0" w:color="000000"/>
            </w:tcBorders>
            <w:shd w:color="auto" w:fill="FFFFFF" w:val="clear"/>
          </w:tcPr>
          <w:p>
            <w:pPr>
              <w:pStyle w:val="Normal"/>
              <w:widowControl w:val="false"/>
              <w:spacing w:lineRule="auto" w:line="240" w:before="0" w:after="0"/>
              <w:rPr>
                <w:sz w:val="16"/>
                <w:szCs w:val="16"/>
                <w:lang w:val="lt-LT"/>
              </w:rPr>
            </w:pPr>
            <w:r>
              <w:rPr>
                <w:sz w:val="16"/>
                <w:szCs w:val="16"/>
                <w:lang w:val="lt-LT"/>
              </w:rPr>
            </w:r>
          </w:p>
        </w:tc>
      </w:tr>
    </w:tbl>
    <w:p>
      <w:pPr>
        <w:pStyle w:val="Normal"/>
        <w:spacing w:before="0" w:after="0"/>
        <w:rPr>
          <w:lang w:val="lt-LT"/>
        </w:rPr>
      </w:pPr>
      <w:r>
        <w:rPr>
          <w:lang w:val="lt-LT"/>
        </w:rPr>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Čempionato techninis teisėjas turėtų užtikrinti, kad po varžybų kiekvienas dalyvis kruopščiai pašalintų visus nešvarumus, likusius nuo produktų bei kruopščiai išvalytų savo darbo vietą. Šios nuostatos nesilaikančiam konkursantui bus skiriami baudos taškai.</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Higienos priemonėmis (šluostėmis, šluotelėmis valyti darbastalį) aprūpina organizatoriai.</w:t>
      </w:r>
    </w:p>
    <w:p>
      <w:pPr>
        <w:pStyle w:val="ListParagraph"/>
        <w:ind w:left="792" w:hanging="0"/>
        <w:rPr>
          <w:rFonts w:ascii="Times New Roman" w:hAnsi="Times New Roman" w:cs="Times New Roman"/>
          <w:sz w:val="24"/>
          <w:szCs w:val="24"/>
          <w:lang w:val="lt-LT"/>
        </w:rPr>
      </w:pPr>
      <w:r>
        <w:rPr>
          <w:rFonts w:cs="Times New Roman" w:ascii="Times New Roman" w:hAnsi="Times New Roman"/>
          <w:sz w:val="24"/>
          <w:szCs w:val="24"/>
          <w:lang w:val="lt-LT"/>
        </w:rPr>
      </w:r>
    </w:p>
    <w:p>
      <w:pPr>
        <w:pStyle w:val="ListParagraph"/>
        <w:numPr>
          <w:ilvl w:val="0"/>
          <w:numId w:val="1"/>
        </w:numPr>
        <w:rPr>
          <w:rFonts w:ascii="Times New Roman" w:hAnsi="Times New Roman" w:cs="Times New Roman"/>
          <w:sz w:val="24"/>
          <w:szCs w:val="24"/>
          <w:lang w:val="lt-LT"/>
        </w:rPr>
      </w:pPr>
      <w:r>
        <w:rPr>
          <w:rFonts w:eastAsia="Times New Roman" w:cs="Times New Roman" w:ascii="Times New Roman" w:hAnsi="Times New Roman"/>
          <w:b/>
          <w:sz w:val="24"/>
          <w:szCs w:val="24"/>
          <w:lang w:val="lt-LT" w:bidi="lt-LT"/>
        </w:rPr>
        <w:t>KOMISIJA, ĮVERTINIMAS IR BALAI</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Picas vertins kvalifikuota komisija. </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Komisiją sudarys kvalifikuoti teisėjai. Kiekvienas komisijos atstovas įvertins picą nuo 1 iki 100 balų, atitinkamai už SKONĮ ir GAMINIMĄ.</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Komisijos sprendimas yra galutinis. Bet kokie skundai gali būti pateikti raštu čempionato organizatoriui tą pačią konkurso dieną. </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color w:val="202124"/>
          <w:sz w:val="24"/>
          <w:szCs w:val="24"/>
          <w:lang w:val="lt-LT" w:bidi="lt-LT"/>
        </w:rPr>
        <w:t>Vertinimo skalė</w:t>
      </w:r>
    </w:p>
    <w:p>
      <w:pPr>
        <w:pStyle w:val="ListParagraph"/>
        <w:numPr>
          <w:ilvl w:val="3"/>
          <w:numId w:val="2"/>
        </w:numPr>
        <w:rPr>
          <w:rFonts w:ascii="Times New Roman" w:hAnsi="Times New Roman" w:cs="Times New Roman"/>
          <w:sz w:val="24"/>
          <w:szCs w:val="24"/>
          <w:lang w:val="lt-LT"/>
        </w:rPr>
      </w:pPr>
      <w:r>
        <w:rPr>
          <w:rFonts w:eastAsia="Times New Roman" w:cs="Times New Roman" w:ascii="Times New Roman" w:hAnsi="Times New Roman"/>
          <w:color w:val="202124"/>
          <w:sz w:val="24"/>
          <w:szCs w:val="24"/>
          <w:lang w:val="lt-LT" w:bidi="lt-LT"/>
        </w:rPr>
        <w:t xml:space="preserve">Picos kraštelio traškumas. </w:t>
      </w:r>
      <w:r>
        <w:rPr>
          <w:rFonts w:eastAsia="Times New Roman" w:cs="Times New Roman" w:ascii="Times New Roman" w:hAnsi="Times New Roman"/>
          <w:color w:val="202124"/>
          <w:sz w:val="24"/>
          <w:szCs w:val="24"/>
          <w:lang w:val="en-US" w:bidi="lt-LT"/>
        </w:rPr>
        <w:t xml:space="preserve">30 </w:t>
      </w:r>
      <w:r>
        <w:rPr>
          <w:rFonts w:eastAsia="Times New Roman" w:cs="Times New Roman" w:ascii="Times New Roman" w:hAnsi="Times New Roman"/>
          <w:color w:val="202124"/>
          <w:sz w:val="24"/>
          <w:szCs w:val="24"/>
          <w:lang w:val="lt-LT" w:bidi="lt-LT"/>
        </w:rPr>
        <w:t>balų</w:t>
      </w:r>
    </w:p>
    <w:p>
      <w:pPr>
        <w:pStyle w:val="ListParagraph"/>
        <w:numPr>
          <w:ilvl w:val="3"/>
          <w:numId w:val="2"/>
        </w:numPr>
        <w:rPr>
          <w:rFonts w:ascii="Times New Roman" w:hAnsi="Times New Roman" w:cs="Times New Roman"/>
          <w:sz w:val="24"/>
          <w:szCs w:val="24"/>
          <w:lang w:val="lt-LT"/>
        </w:rPr>
      </w:pPr>
      <w:r>
        <w:rPr>
          <w:rFonts w:eastAsia="Times New Roman" w:cs="Times New Roman" w:ascii="Times New Roman" w:hAnsi="Times New Roman"/>
          <w:color w:val="202124"/>
          <w:sz w:val="24"/>
          <w:szCs w:val="24"/>
          <w:lang w:val="lt-LT" w:bidi="lt-LT"/>
        </w:rPr>
        <w:t xml:space="preserve">Ar tinkamai atskleistas pomidorų padažas (pomidoriškumas)? </w:t>
      </w:r>
      <w:r>
        <w:rPr>
          <w:rFonts w:eastAsia="Times New Roman" w:cs="Times New Roman" w:ascii="Times New Roman" w:hAnsi="Times New Roman"/>
          <w:color w:val="202124"/>
          <w:sz w:val="24"/>
          <w:szCs w:val="24"/>
          <w:lang w:val="en-US" w:bidi="lt-LT"/>
        </w:rPr>
        <w:t>10 bal</w:t>
      </w:r>
      <w:r>
        <w:rPr>
          <w:rFonts w:eastAsia="Times New Roman" w:cs="Times New Roman" w:ascii="Times New Roman" w:hAnsi="Times New Roman"/>
          <w:color w:val="202124"/>
          <w:sz w:val="24"/>
          <w:szCs w:val="24"/>
          <w:lang w:val="lt-LT" w:bidi="lt-LT"/>
        </w:rPr>
        <w:t>ų</w:t>
      </w:r>
    </w:p>
    <w:p>
      <w:pPr>
        <w:pStyle w:val="ListParagraph"/>
        <w:numPr>
          <w:ilvl w:val="3"/>
          <w:numId w:val="2"/>
        </w:numPr>
        <w:rPr>
          <w:rFonts w:ascii="Times New Roman" w:hAnsi="Times New Roman" w:cs="Times New Roman"/>
          <w:sz w:val="24"/>
          <w:szCs w:val="24"/>
          <w:lang w:val="lt-LT"/>
        </w:rPr>
      </w:pPr>
      <w:r>
        <w:rPr>
          <w:rFonts w:eastAsia="Times New Roman" w:cs="Times New Roman" w:ascii="Times New Roman" w:hAnsi="Times New Roman"/>
          <w:color w:val="202124"/>
          <w:sz w:val="24"/>
          <w:szCs w:val="24"/>
          <w:lang w:val="lt-LT" w:bidi="lt-LT"/>
        </w:rPr>
        <w:t xml:space="preserve">Ar teisinga sūrio proporcija? </w:t>
      </w:r>
      <w:r>
        <w:rPr>
          <w:rFonts w:eastAsia="Times New Roman" w:cs="Times New Roman" w:ascii="Times New Roman" w:hAnsi="Times New Roman"/>
          <w:color w:val="202124"/>
          <w:sz w:val="24"/>
          <w:szCs w:val="24"/>
          <w:lang w:val="en-US" w:bidi="lt-LT"/>
        </w:rPr>
        <w:t>10</w:t>
      </w:r>
      <w:r>
        <w:rPr>
          <w:rFonts w:eastAsia="Times New Roman" w:cs="Times New Roman" w:ascii="Times New Roman" w:hAnsi="Times New Roman"/>
          <w:color w:val="202124"/>
          <w:sz w:val="24"/>
          <w:szCs w:val="24"/>
          <w:lang w:val="lt-LT" w:bidi="lt-LT"/>
        </w:rPr>
        <w:t xml:space="preserve"> </w:t>
      </w:r>
      <w:r>
        <w:rPr>
          <w:rFonts w:eastAsia="Times New Roman" w:cs="Times New Roman" w:ascii="Times New Roman" w:hAnsi="Times New Roman"/>
          <w:color w:val="202124"/>
          <w:sz w:val="24"/>
          <w:szCs w:val="24"/>
          <w:lang w:val="en-US" w:bidi="lt-LT"/>
        </w:rPr>
        <w:t>bal</w:t>
      </w:r>
      <w:r>
        <w:rPr>
          <w:rFonts w:eastAsia="Times New Roman" w:cs="Times New Roman" w:ascii="Times New Roman" w:hAnsi="Times New Roman"/>
          <w:color w:val="202124"/>
          <w:sz w:val="24"/>
          <w:szCs w:val="24"/>
          <w:lang w:val="lt-LT" w:bidi="lt-LT"/>
        </w:rPr>
        <w:t>ų</w:t>
      </w:r>
    </w:p>
    <w:p>
      <w:pPr>
        <w:pStyle w:val="ListParagraph"/>
        <w:numPr>
          <w:ilvl w:val="3"/>
          <w:numId w:val="2"/>
        </w:numPr>
        <w:rPr>
          <w:rFonts w:ascii="Times New Roman" w:hAnsi="Times New Roman" w:cs="Times New Roman"/>
          <w:sz w:val="24"/>
          <w:szCs w:val="24"/>
          <w:lang w:val="lt-LT"/>
        </w:rPr>
      </w:pPr>
      <w:r>
        <w:rPr>
          <w:rFonts w:eastAsia="Times New Roman" w:cs="Times New Roman" w:ascii="Times New Roman" w:hAnsi="Times New Roman"/>
          <w:color w:val="202124"/>
          <w:sz w:val="24"/>
          <w:szCs w:val="24"/>
          <w:lang w:val="lt-LT" w:bidi="lt-LT"/>
        </w:rPr>
        <w:t xml:space="preserve">Įdarų santykis su picos padu (sulenkus picos trikampėlį, neturi persilenkti picos padas). </w:t>
      </w:r>
      <w:r>
        <w:rPr>
          <w:rFonts w:eastAsia="Times New Roman" w:cs="Times New Roman" w:ascii="Times New Roman" w:hAnsi="Times New Roman"/>
          <w:color w:val="202124"/>
          <w:sz w:val="24"/>
          <w:szCs w:val="24"/>
          <w:lang w:val="en-US" w:bidi="lt-LT"/>
        </w:rPr>
        <w:t>20 bal</w:t>
      </w:r>
      <w:r>
        <w:rPr>
          <w:rFonts w:eastAsia="Times New Roman" w:cs="Times New Roman" w:ascii="Times New Roman" w:hAnsi="Times New Roman"/>
          <w:color w:val="202124"/>
          <w:sz w:val="24"/>
          <w:szCs w:val="24"/>
          <w:lang w:val="lt-LT" w:bidi="lt-LT"/>
        </w:rPr>
        <w:t>ų</w:t>
      </w:r>
    </w:p>
    <w:p>
      <w:pPr>
        <w:pStyle w:val="ListParagraph"/>
        <w:numPr>
          <w:ilvl w:val="3"/>
          <w:numId w:val="2"/>
        </w:numPr>
        <w:rPr>
          <w:rFonts w:ascii="Times New Roman" w:hAnsi="Times New Roman" w:cs="Times New Roman"/>
          <w:sz w:val="24"/>
          <w:szCs w:val="24"/>
          <w:lang w:val="lt-LT"/>
        </w:rPr>
      </w:pPr>
      <w:r>
        <w:rPr>
          <w:rFonts w:eastAsia="Times New Roman" w:cs="Times New Roman" w:ascii="Times New Roman" w:hAnsi="Times New Roman"/>
          <w:color w:val="202124"/>
          <w:sz w:val="24"/>
          <w:szCs w:val="24"/>
          <w:lang w:val="lt-LT" w:bidi="lt-LT"/>
        </w:rPr>
        <w:t>Ar pagaminta pica paliktų įspūdį (susidomėjimą) vartotojui?</w:t>
      </w:r>
      <w:r>
        <w:rPr>
          <w:rFonts w:eastAsia="Times New Roman" w:cs="Times New Roman" w:ascii="Times New Roman" w:hAnsi="Times New Roman"/>
          <w:color w:val="202124"/>
          <w:sz w:val="24"/>
          <w:szCs w:val="24"/>
          <w:lang w:val="en-US" w:bidi="lt-LT"/>
        </w:rPr>
        <w:t xml:space="preserve"> 10 ba</w:t>
      </w:r>
      <w:r>
        <w:rPr>
          <w:rFonts w:eastAsia="Times New Roman" w:cs="Times New Roman" w:ascii="Times New Roman" w:hAnsi="Times New Roman"/>
          <w:color w:val="202124"/>
          <w:sz w:val="24"/>
          <w:szCs w:val="24"/>
          <w:lang w:val="lt-LT" w:bidi="lt-LT"/>
        </w:rPr>
        <w:t>lų</w:t>
      </w:r>
    </w:p>
    <w:p>
      <w:pPr>
        <w:pStyle w:val="ListParagraph"/>
        <w:numPr>
          <w:ilvl w:val="3"/>
          <w:numId w:val="2"/>
        </w:numPr>
        <w:rPr>
          <w:rFonts w:ascii="Times New Roman" w:hAnsi="Times New Roman" w:cs="Times New Roman"/>
          <w:sz w:val="24"/>
          <w:szCs w:val="24"/>
          <w:lang w:val="lt-LT"/>
        </w:rPr>
      </w:pPr>
      <w:r>
        <w:rPr>
          <w:rFonts w:eastAsia="Times New Roman" w:cs="Times New Roman" w:ascii="Times New Roman" w:hAnsi="Times New Roman"/>
          <w:color w:val="202124"/>
          <w:sz w:val="24"/>
          <w:szCs w:val="24"/>
          <w:lang w:val="lt-LT" w:bidi="lt-LT"/>
        </w:rPr>
        <w:t xml:space="preserve">Skonis. Skoninių savybių suderinamumas. </w:t>
      </w:r>
      <w:r>
        <w:rPr>
          <w:rFonts w:eastAsia="Times New Roman" w:cs="Times New Roman" w:ascii="Times New Roman" w:hAnsi="Times New Roman"/>
          <w:color w:val="202124"/>
          <w:sz w:val="24"/>
          <w:szCs w:val="24"/>
          <w:lang w:val="en-US" w:bidi="lt-LT"/>
        </w:rPr>
        <w:t xml:space="preserve">20 </w:t>
      </w:r>
      <w:r>
        <w:rPr>
          <w:rFonts w:eastAsia="Times New Roman" w:cs="Times New Roman" w:ascii="Times New Roman" w:hAnsi="Times New Roman"/>
          <w:color w:val="202124"/>
          <w:sz w:val="24"/>
          <w:szCs w:val="24"/>
          <w:lang w:val="lt-LT" w:bidi="lt-LT"/>
        </w:rPr>
        <w:t>balų</w:t>
      </w:r>
    </w:p>
    <w:p>
      <w:pPr>
        <w:pStyle w:val="ListParagraph"/>
        <w:numPr>
          <w:ilvl w:val="3"/>
          <w:numId w:val="2"/>
        </w:numPr>
        <w:rPr>
          <w:rFonts w:ascii="Times New Roman" w:hAnsi="Times New Roman"/>
          <w:sz w:val="24"/>
          <w:szCs w:val="24"/>
          <w:lang w:val="lt-LT"/>
        </w:rPr>
      </w:pPr>
      <w:r>
        <w:rPr>
          <w:rFonts w:ascii="Times New Roman" w:hAnsi="Times New Roman"/>
          <w:sz w:val="24"/>
          <w:szCs w:val="24"/>
          <w:lang w:val="en-US"/>
        </w:rPr>
        <w:t xml:space="preserve">Darbo vieta. </w:t>
      </w:r>
      <w:r>
        <w:rPr>
          <w:rFonts w:ascii="Times New Roman" w:hAnsi="Times New Roman"/>
          <w:sz w:val="24"/>
          <w:szCs w:val="24"/>
          <w:lang w:val="lt-LT"/>
        </w:rPr>
        <w:t>Švar</w:t>
      </w:r>
      <w:r>
        <w:rPr>
          <w:rFonts w:ascii="Times New Roman" w:hAnsi="Times New Roman"/>
          <w:sz w:val="24"/>
          <w:szCs w:val="24"/>
          <w:lang w:val="en-US"/>
        </w:rPr>
        <w:t>i</w:t>
      </w:r>
      <w:r>
        <w:rPr>
          <w:rFonts w:ascii="Times New Roman" w:hAnsi="Times New Roman"/>
          <w:sz w:val="24"/>
          <w:szCs w:val="24"/>
          <w:lang w:val="lt-LT"/>
        </w:rPr>
        <w:t>,</w:t>
      </w:r>
      <w:r>
        <w:rPr>
          <w:rFonts w:ascii="Times New Roman" w:hAnsi="Times New Roman"/>
          <w:sz w:val="24"/>
          <w:szCs w:val="24"/>
          <w:lang w:val="en-US"/>
        </w:rPr>
        <w:t xml:space="preserve"> tvarkinga darbo vieta, teisingas darbo organizavimas</w:t>
      </w:r>
      <w:r>
        <w:rPr>
          <w:rFonts w:ascii="Times New Roman" w:hAnsi="Times New Roman"/>
          <w:sz w:val="24"/>
          <w:szCs w:val="24"/>
          <w:lang w:val="lt-LT"/>
        </w:rPr>
        <w:t xml:space="preserve">. </w:t>
      </w:r>
      <w:r>
        <w:rPr>
          <w:rFonts w:ascii="Times New Roman" w:hAnsi="Times New Roman"/>
          <w:sz w:val="24"/>
          <w:szCs w:val="24"/>
          <w:lang w:val="en-US"/>
        </w:rPr>
        <w:t>10 bal</w:t>
      </w:r>
      <w:r>
        <w:rPr>
          <w:rFonts w:ascii="Times New Roman" w:hAnsi="Times New Roman"/>
          <w:sz w:val="24"/>
          <w:szCs w:val="24"/>
          <w:lang w:val="lt-LT"/>
        </w:rPr>
        <w:t xml:space="preserve">ų.  </w:t>
      </w:r>
      <w:r>
        <w:rPr>
          <w:rFonts w:ascii="Times New Roman" w:hAnsi="Times New Roman"/>
          <w:sz w:val="24"/>
          <w:szCs w:val="24"/>
          <w:lang w:val="en-US"/>
        </w:rPr>
        <w:t>Atskirai vertina techninis teis</w:t>
      </w:r>
      <w:r>
        <w:rPr>
          <w:rFonts w:ascii="Times New Roman" w:hAnsi="Times New Roman"/>
          <w:sz w:val="24"/>
          <w:szCs w:val="24"/>
          <w:lang w:val="lt-LT"/>
        </w:rPr>
        <w:t>ėjas.</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Picą, padalintą į aštuonias </w:t>
      </w:r>
      <w:r>
        <w:rPr>
          <w:rFonts w:eastAsia="Times New Roman" w:cs="Times New Roman" w:ascii="Times New Roman" w:hAnsi="Times New Roman"/>
          <w:sz w:val="24"/>
          <w:szCs w:val="24"/>
          <w:lang w:val="en-US" w:bidi="lt-LT"/>
        </w:rPr>
        <w:t xml:space="preserve">dalis, </w:t>
      </w:r>
      <w:r>
        <w:rPr>
          <w:rFonts w:eastAsia="Times New Roman" w:cs="Times New Roman" w:ascii="Times New Roman" w:hAnsi="Times New Roman"/>
          <w:sz w:val="24"/>
          <w:szCs w:val="24"/>
          <w:lang w:val="lt-LT" w:bidi="lt-LT"/>
        </w:rPr>
        <w:t xml:space="preserve">komisijai turi patiekti tiesiogiai konkursantas; padėjėjams nebus leidžiama patiekti picų. Griežtai draudžiama siūlyti komisijai smulkias dovanas ar suvenyrus, nes už tai gresia diskvalifikacija. </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Kiekvieno komisijos nario vertinimo suma sudarys 100/100 balų </w:t>
      </w:r>
      <w:r>
        <w:rPr>
          <w:rFonts w:eastAsia="Times New Roman" w:cs="Times New Roman" w:ascii="Times New Roman" w:hAnsi="Times New Roman"/>
          <w:sz w:val="24"/>
          <w:szCs w:val="24"/>
          <w:lang w:val="en-US" w:bidi="lt-LT"/>
        </w:rPr>
        <w:t>ir 10/10 techninis teis</w:t>
      </w:r>
      <w:r>
        <w:rPr>
          <w:rFonts w:eastAsia="Times New Roman" w:cs="Times New Roman" w:ascii="Times New Roman" w:hAnsi="Times New Roman"/>
          <w:sz w:val="24"/>
          <w:szCs w:val="24"/>
          <w:lang w:val="lt-LT" w:bidi="lt-LT"/>
        </w:rPr>
        <w:t>ėjas.</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Reitingai: reitingas bus sudarytas remiantis matematiniu komisijos narių kortelių vidurkiu, išreikštu </w:t>
      </w:r>
      <w:r>
        <w:rPr>
          <w:rFonts w:eastAsia="Times New Roman" w:cs="Times New Roman" w:ascii="Times New Roman" w:hAnsi="Times New Roman"/>
          <w:sz w:val="24"/>
          <w:szCs w:val="24"/>
          <w:lang w:val="en-US" w:bidi="lt-LT"/>
        </w:rPr>
        <w:t>110</w:t>
      </w:r>
      <w:r>
        <w:rPr>
          <w:rFonts w:eastAsia="Times New Roman" w:cs="Times New Roman" w:ascii="Times New Roman" w:hAnsi="Times New Roman"/>
          <w:sz w:val="24"/>
          <w:szCs w:val="24"/>
          <w:lang w:val="lt-LT" w:bidi="lt-LT"/>
        </w:rPr>
        <w:t>/</w:t>
      </w:r>
      <w:r>
        <w:rPr>
          <w:rFonts w:eastAsia="Times New Roman" w:cs="Times New Roman" w:ascii="Times New Roman" w:hAnsi="Times New Roman"/>
          <w:sz w:val="24"/>
          <w:szCs w:val="24"/>
          <w:lang w:val="en-US" w:bidi="lt-LT"/>
        </w:rPr>
        <w:t>110</w:t>
      </w:r>
      <w:r>
        <w:rPr>
          <w:rFonts w:eastAsia="Times New Roman" w:cs="Times New Roman" w:ascii="Times New Roman" w:hAnsi="Times New Roman"/>
          <w:sz w:val="24"/>
          <w:szCs w:val="24"/>
          <w:lang w:val="lt-LT" w:bidi="lt-LT"/>
        </w:rPr>
        <w:t>.</w:t>
      </w:r>
    </w:p>
    <w:p>
      <w:pPr>
        <w:pStyle w:val="ListParagraph"/>
        <w:ind w:left="792" w:hanging="0"/>
        <w:rPr>
          <w:rFonts w:ascii="Times New Roman" w:hAnsi="Times New Roman" w:cs="Times New Roman"/>
          <w:sz w:val="24"/>
          <w:szCs w:val="24"/>
          <w:lang w:val="lt-LT"/>
        </w:rPr>
      </w:pPr>
      <w:r>
        <w:rPr>
          <w:rFonts w:cs="Times New Roman" w:ascii="Times New Roman" w:hAnsi="Times New Roman"/>
          <w:sz w:val="24"/>
          <w:szCs w:val="24"/>
          <w:lang w:val="lt-LT"/>
        </w:rPr>
      </w:r>
    </w:p>
    <w:p>
      <w:pPr>
        <w:pStyle w:val="ListParagraph"/>
        <w:numPr>
          <w:ilvl w:val="0"/>
          <w:numId w:val="1"/>
        </w:numPr>
        <w:rPr>
          <w:rFonts w:ascii="Times New Roman" w:hAnsi="Times New Roman" w:cs="Times New Roman"/>
          <w:sz w:val="24"/>
          <w:szCs w:val="24"/>
          <w:lang w:val="lt-LT"/>
        </w:rPr>
      </w:pPr>
      <w:r>
        <w:rPr>
          <w:rFonts w:eastAsia="Times New Roman" w:cs="Times New Roman" w:ascii="Times New Roman" w:hAnsi="Times New Roman"/>
          <w:b/>
          <w:sz w:val="24"/>
          <w:szCs w:val="24"/>
          <w:lang w:val="lt-LT" w:bidi="lt-LT"/>
        </w:rPr>
        <w:t>KITI KLAUSIMAI</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Organizatorius vienerius metus pasilieka išimtines teises į reklamą ir vaizdą, susijusį su kiekvienos kategorijos konkurso dalyviais, taip pat teisę neribotai naudoti fotografijas, vaizdo įrašus ar kitą medžiagą, nemokant už tai ir neįpareigojant pačių dalyvių. </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Per degustacijas nesuvalgytos picos lieka konkursantui. Jei dalyvis jos nesuvalgo, ji gali būti pateikta žiūrovams paragauti.</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Organizatorius pasilieka teisę daryti bet kokius pakeitimus renginio eigai pagerinti.</w:t>
      </w:r>
    </w:p>
    <w:p>
      <w:pPr>
        <w:pStyle w:val="ListParagraph"/>
        <w:ind w:left="792" w:hanging="0"/>
        <w:rPr>
          <w:rFonts w:ascii="Times New Roman" w:hAnsi="Times New Roman" w:cs="Times New Roman"/>
          <w:sz w:val="24"/>
          <w:szCs w:val="24"/>
          <w:lang w:val="lt-LT"/>
        </w:rPr>
      </w:pPr>
      <w:r>
        <w:rPr>
          <w:rFonts w:cs="Times New Roman" w:ascii="Times New Roman" w:hAnsi="Times New Roman"/>
          <w:sz w:val="24"/>
          <w:szCs w:val="24"/>
          <w:lang w:val="lt-LT"/>
        </w:rPr>
      </w:r>
    </w:p>
    <w:p>
      <w:pPr>
        <w:pStyle w:val="Normal"/>
        <w:rPr>
          <w:rFonts w:ascii="Times New Roman" w:hAnsi="Times New Roman" w:cs="Times New Roman"/>
          <w:b/>
          <w:b/>
          <w:sz w:val="24"/>
          <w:szCs w:val="24"/>
          <w:lang w:val="lt-LT"/>
        </w:rPr>
      </w:pPr>
      <w:r>
        <w:rPr>
          <w:rFonts w:cs="Times New Roman" w:ascii="Times New Roman" w:hAnsi="Times New Roman"/>
          <w:b/>
          <w:sz w:val="24"/>
          <w:szCs w:val="24"/>
          <w:lang w:val="lt-LT"/>
        </w:rPr>
      </w:r>
    </w:p>
    <w:p>
      <w:pPr>
        <w:pStyle w:val="Normal"/>
        <w:rPr>
          <w:rFonts w:ascii="Times New Roman" w:hAnsi="Times New Roman" w:cs="Times New Roman"/>
          <w:sz w:val="24"/>
          <w:szCs w:val="24"/>
          <w:lang w:val="lt-LT"/>
        </w:rPr>
      </w:pPr>
      <w:r>
        <w:rPr>
          <w:rFonts w:eastAsia="Times New Roman" w:cs="Times New Roman" w:ascii="Times New Roman" w:hAnsi="Times New Roman"/>
          <w:b/>
          <w:sz w:val="24"/>
          <w:szCs w:val="24"/>
          <w:lang w:val="lt-LT" w:bidi="lt-LT"/>
        </w:rPr>
        <w:t>PRIZAS</w:t>
      </w:r>
    </w:p>
    <w:p>
      <w:pPr>
        <w:pStyle w:val="ListParagraph"/>
        <w:numPr>
          <w:ilvl w:val="1"/>
          <w:numId w:val="1"/>
        </w:numPr>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Lietuvos nacionalinės picos trofėjaus nugalėtojui atiteks „Reaton Food“ prizas – mokymai </w:t>
      </w:r>
      <w:r>
        <w:rPr>
          <w:rFonts w:eastAsia="Georgia" w:cs="Georgia" w:ascii="Georgia" w:hAnsi="Georgia"/>
          <w:lang w:val="lt-LT" w:bidi="lt-LT"/>
        </w:rPr>
        <w:t>(su vertimu į anglų kalbą)</w:t>
      </w:r>
      <w:r>
        <w:rPr>
          <w:rFonts w:eastAsia="Times New Roman" w:cs="Times New Roman" w:ascii="Times New Roman" w:hAnsi="Times New Roman"/>
          <w:sz w:val="24"/>
          <w:szCs w:val="24"/>
          <w:lang w:val="lt-LT" w:bidi="lt-LT"/>
        </w:rPr>
        <w:t xml:space="preserve"> Neapolio picų asociacijoje (</w:t>
      </w:r>
      <w:r>
        <w:rPr>
          <w:rFonts w:eastAsia="Times New Roman" w:cs="Times New Roman" w:ascii="Times New Roman" w:hAnsi="Times New Roman"/>
          <w:i/>
          <w:sz w:val="24"/>
          <w:szCs w:val="24"/>
          <w:lang w:val="lt-LT" w:bidi="lt-LT"/>
        </w:rPr>
        <w:t>Associazione Verace Pizza Napoletana, AVPN</w:t>
      </w:r>
      <w:r>
        <w:rPr>
          <w:rFonts w:eastAsia="Times New Roman" w:cs="Times New Roman" w:ascii="Times New Roman" w:hAnsi="Times New Roman"/>
          <w:sz w:val="24"/>
          <w:szCs w:val="24"/>
          <w:lang w:val="lt-LT" w:bidi="lt-LT"/>
        </w:rPr>
        <w:t>) Neapolyje, Italijoje.</w:t>
      </w:r>
    </w:p>
    <w:p>
      <w:pPr>
        <w:pStyle w:val="ListParagraph"/>
        <w:numPr>
          <w:ilvl w:val="1"/>
          <w:numId w:val="1"/>
        </w:numPr>
        <w:spacing w:before="0" w:after="160"/>
        <w:contextualSpacing/>
        <w:rPr>
          <w:rFonts w:ascii="Times New Roman" w:hAnsi="Times New Roman" w:cs="Times New Roman"/>
          <w:sz w:val="24"/>
          <w:szCs w:val="24"/>
          <w:lang w:val="lt-LT"/>
        </w:rPr>
      </w:pPr>
      <w:r>
        <w:rPr>
          <w:rFonts w:eastAsia="Times New Roman" w:cs="Times New Roman" w:ascii="Times New Roman" w:hAnsi="Times New Roman"/>
          <w:sz w:val="24"/>
          <w:szCs w:val="24"/>
          <w:lang w:val="lt-LT" w:bidi="lt-LT"/>
        </w:rPr>
        <w:t xml:space="preserve">Apdovanojimų ceremonija įvyks lapkričio 14 d. </w:t>
      </w:r>
      <w:r>
        <w:rPr>
          <w:rFonts w:eastAsia="Times New Roman" w:cs="Times New Roman" w:ascii="Times New Roman" w:hAnsi="Times New Roman"/>
          <w:sz w:val="24"/>
          <w:szCs w:val="24"/>
          <w:lang w:val="en-US" w:bidi="lt-LT"/>
        </w:rPr>
        <w:t xml:space="preserve">16:00 </w:t>
      </w:r>
      <w:r>
        <w:rPr>
          <w:rFonts w:eastAsia="Times New Roman" w:cs="Times New Roman" w:ascii="Times New Roman" w:hAnsi="Times New Roman"/>
          <w:sz w:val="24"/>
          <w:szCs w:val="24"/>
          <w:lang w:val="lt-LT" w:bidi="lt-LT"/>
        </w:rPr>
        <w:t xml:space="preserve">val. </w:t>
      </w:r>
      <w:r>
        <w:rPr>
          <w:rFonts w:eastAsia="Times New Roman" w:cs="Times New Roman" w:ascii="Times New Roman" w:hAnsi="Times New Roman"/>
          <w:sz w:val="24"/>
          <w:szCs w:val="24"/>
          <w:lang w:val="en-US" w:bidi="lt-LT"/>
        </w:rPr>
        <w:t>3 sal</w:t>
      </w:r>
      <w:r>
        <w:rPr>
          <w:rFonts w:eastAsia="Times New Roman" w:cs="Times New Roman" w:ascii="Times New Roman" w:hAnsi="Times New Roman"/>
          <w:sz w:val="24"/>
          <w:szCs w:val="24"/>
          <w:lang w:val="lt-LT" w:bidi="lt-LT"/>
        </w:rPr>
        <w:t>ėje šalia konkursų zonos.</w:t>
      </w:r>
    </w:p>
    <w:sectPr>
      <w:headerReference w:type="default" r:id="rId10"/>
      <w:footerReference w:type="default" r:id="rId11"/>
      <w:type w:val="nextPage"/>
      <w:pgSz w:w="11906" w:h="16838"/>
      <w:pgMar w:left="1701" w:right="850" w:header="283" w:top="1134" w:footer="283"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95649381"/>
    </w:sdtPr>
    <w:sdtContent>
      <w:p>
        <w:pPr>
          <w:pStyle w:val="Footer"/>
          <w:rPr/>
        </w:pPr>
        <w:r>
          <w:rPr/>
        </w:r>
      </w:p>
      <w:p>
        <w:pPr>
          <w:pStyle w:val="Footer"/>
          <w:rPr/>
        </w:pPr>
        <w:r>
          <w:rPr/>
          <w:drawing>
            <wp:inline distT="0" distB="0" distL="0" distR="0">
              <wp:extent cx="1495425" cy="214630"/>
              <wp:effectExtent l="0" t="0" r="0" b="0"/>
              <wp:docPr id="10" name="Picture 4" descr="\\fstore\Archives\PPD\Marketing\PPD marketings\REATON FOOD REBRANDING\LOGO\R_VISI_PAREIZS SARKANAIS\Reaton_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fstore\Archives\PPD\Marketing\PPD marketings\REATON FOOD REBRANDING\LOGO\R_VISI_PAREIZS SARKANAIS\Reaton_Food.png"/>
                      <pic:cNvPicPr>
                        <a:picLocks noChangeAspect="1" noChangeArrowheads="1"/>
                      </pic:cNvPicPr>
                    </pic:nvPicPr>
                    <pic:blipFill>
                      <a:blip r:embed="rId1"/>
                      <a:srcRect l="0" t="19119" r="0" b="21121"/>
                      <a:stretch>
                        <a:fillRect/>
                      </a:stretch>
                    </pic:blipFill>
                    <pic:spPr bwMode="auto">
                      <a:xfrm>
                        <a:off x="0" y="0"/>
                        <a:ext cx="1495425" cy="214630"/>
                      </a:xfrm>
                      <a:prstGeom prst="rect">
                        <a:avLst/>
                      </a:prstGeom>
                    </pic:spPr>
                  </pic:pic>
                </a:graphicData>
              </a:graphic>
            </wp:inline>
          </w:drawing>
        </w:r>
      </w:p>
      <w:p>
        <w:pPr>
          <w:pStyle w:val="Footer"/>
          <w:jc w:val="right"/>
          <w:rPr>
            <w:rFonts w:ascii="Times New Roman" w:hAnsi="Times New Roman" w:cs="Times New Roman"/>
            <w:sz w:val="18"/>
            <w:szCs w:val="18"/>
          </w:rPr>
        </w:pPr>
        <w:r>
          <w:rPr>
            <w:rFonts w:eastAsia="Times New Roman" w:cs="Times New Roman" w:ascii="Times New Roman" w:hAnsi="Times New Roman"/>
            <w:sz w:val="18"/>
            <w:szCs w:val="18"/>
            <w:lang w:val="lt-LT" w:bidi="lt-LT"/>
          </w:rPr>
          <w:fldChar w:fldCharType="begin"/>
        </w:r>
        <w:r>
          <w:rPr>
            <w:sz w:val="18"/>
            <w:szCs w:val="18"/>
            <w:rFonts w:eastAsia="Times New Roman" w:cs="Times New Roman" w:ascii="Times New Roman" w:hAnsi="Times New Roman"/>
            <w:lang w:val="lt-LT" w:bidi="lt-LT"/>
          </w:rPr>
          <w:instrText> PAGE </w:instrText>
        </w:r>
        <w:r>
          <w:rPr>
            <w:sz w:val="18"/>
            <w:szCs w:val="18"/>
            <w:rFonts w:eastAsia="Times New Roman" w:cs="Times New Roman" w:ascii="Times New Roman" w:hAnsi="Times New Roman"/>
            <w:lang w:val="lt-LT" w:bidi="lt-LT"/>
          </w:rPr>
          <w:fldChar w:fldCharType="separate"/>
        </w:r>
        <w:r>
          <w:rPr>
            <w:sz w:val="18"/>
            <w:szCs w:val="18"/>
            <w:rFonts w:eastAsia="Times New Roman" w:cs="Times New Roman" w:ascii="Times New Roman" w:hAnsi="Times New Roman"/>
            <w:lang w:val="lt-LT" w:bidi="lt-LT"/>
          </w:rPr>
          <w:t>5</w:t>
        </w:r>
        <w:r>
          <w:rPr>
            <w:sz w:val="18"/>
            <w:szCs w:val="18"/>
            <w:rFonts w:eastAsia="Times New Roman" w:cs="Times New Roman" w:ascii="Times New Roman" w:hAnsi="Times New Roman"/>
            <w:lang w:val="lt-LT" w:bidi="lt-LT"/>
          </w:rPr>
          <w:fldChar w:fldCharType="end"/>
        </w:r>
      </w:p>
    </w:sdtContent>
  </w:sdt>
  <w:p>
    <w:pPr>
      <w:pStyle w:val="Footer"/>
      <w:rPr>
        <w:rFonts w:ascii="Times New Roman" w:hAnsi="Times New Roman" w:cs="Times New Roman"/>
        <w:sz w:val="18"/>
        <w:szCs w:val="18"/>
      </w:rPr>
    </w:pPr>
    <w:r>
      <w:rPr>
        <w:rFonts w:cs="Times New Roman" w:ascii="Times New Roman" w:hAnsi="Times New Roman"/>
        <w:sz w:val="18"/>
        <w:szCs w:val="1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1077595" cy="1080135"/>
          <wp:effectExtent l="0" t="0" r="0" b="0"/>
          <wp:docPr id="8" name="Picture 2" descr="\\fstore\Archives\PPD\Marketing\PPD marketings\Pasakumi\PICA\LOGO\Pizza_TROPHY_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store\Archives\PPD\Marketing\PPD marketings\Pasakumi\PICA\LOGO\Pizza_TROPHY_LT.png"/>
                  <pic:cNvPicPr>
                    <a:picLocks noChangeAspect="1" noChangeArrowheads="1"/>
                  </pic:cNvPicPr>
                </pic:nvPicPr>
                <pic:blipFill>
                  <a:blip r:embed="rId1"/>
                  <a:stretch>
                    <a:fillRect/>
                  </a:stretch>
                </pic:blipFill>
                <pic:spPr bwMode="auto">
                  <a:xfrm>
                    <a:off x="0" y="0"/>
                    <a:ext cx="1077595" cy="1080135"/>
                  </a:xfrm>
                  <a:prstGeom prst="rect">
                    <a:avLst/>
                  </a:prstGeom>
                </pic:spPr>
              </pic:pic>
            </a:graphicData>
          </a:graphic>
        </wp:inline>
      </w:drawing>
    </w:r>
    <w:r>
      <w:rPr>
        <w:lang w:val="lt-LT" w:bidi="lt-LT"/>
      </w:rPr>
      <w:t xml:space="preserve">                                                                                                                        </w:t>
    </w:r>
    <w:r>
      <w:rPr/>
      <w:drawing>
        <wp:inline distT="0" distB="0" distL="0" distR="0">
          <wp:extent cx="1032510" cy="1188085"/>
          <wp:effectExtent l="0" t="0" r="0" b="0"/>
          <wp:docPr id="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
                  <pic:cNvPicPr>
                    <a:picLocks noChangeAspect="1" noChangeArrowheads="1"/>
                  </pic:cNvPicPr>
                </pic:nvPicPr>
                <pic:blipFill>
                  <a:blip r:embed="rId2"/>
                  <a:stretch>
                    <a:fillRect/>
                  </a:stretch>
                </pic:blipFill>
                <pic:spPr bwMode="auto">
                  <a:xfrm>
                    <a:off x="0" y="0"/>
                    <a:ext cx="1032510" cy="1188085"/>
                  </a:xfrm>
                  <a:prstGeom prst="rect">
                    <a:avLst/>
                  </a:prstGeom>
                </pic:spPr>
              </pic:pic>
            </a:graphicData>
          </a:graphic>
        </wp:inline>
      </w:drawing>
    </w:r>
  </w:p>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bullet"/>
      <w:lvlText w:val=""/>
      <w:lvlJc w:val="left"/>
      <w:pPr>
        <w:tabs>
          <w:tab w:val="num" w:pos="0"/>
        </w:tabs>
        <w:ind w:left="1728" w:hanging="648"/>
      </w:pPr>
      <w:rPr>
        <w:rFonts w:ascii="Symbol" w:hAnsi="Symbol" w:cs="Symbol" w:hint="default"/>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lv-LV" w:eastAsia=""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lt-L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881"/>
    <w:pPr>
      <w:widowControl/>
      <w:suppressAutoHyphens w:val="true"/>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b01881"/>
    <w:rPr/>
  </w:style>
  <w:style w:type="character" w:styleId="FooterChar" w:customStyle="1">
    <w:name w:val="Footer Char"/>
    <w:basedOn w:val="DefaultParagraphFont"/>
    <w:link w:val="Footer"/>
    <w:uiPriority w:val="99"/>
    <w:qFormat/>
    <w:rsid w:val="00b01881"/>
    <w:rPr/>
  </w:style>
  <w:style w:type="character" w:styleId="InternetLink">
    <w:name w:val="Hyperlink"/>
    <w:basedOn w:val="DefaultParagraphFont"/>
    <w:uiPriority w:val="99"/>
    <w:semiHidden/>
    <w:unhideWhenUsed/>
    <w:rsid w:val="00b01881"/>
    <w:rPr>
      <w:color w:val="0563C1" w:themeColor="hyperlink"/>
      <w:u w:val="single"/>
    </w:rPr>
  </w:style>
  <w:style w:type="character" w:styleId="PlainTextChar" w:customStyle="1">
    <w:name w:val="Plain Text Char"/>
    <w:basedOn w:val="DefaultParagraphFont"/>
    <w:link w:val="PlainText"/>
    <w:uiPriority w:val="99"/>
    <w:semiHidden/>
    <w:qFormat/>
    <w:rsid w:val="006456f0"/>
    <w:rPr>
      <w:rFonts w:ascii="Calibri" w:hAnsi="Calibri"/>
      <w:szCs w:val="21"/>
      <w:lang w:val="ru-RU"/>
    </w:rPr>
  </w:style>
  <w:style w:type="character" w:styleId="Other" w:customStyle="1">
    <w:name w:val="Other_"/>
    <w:basedOn w:val="DefaultParagraphFont"/>
    <w:link w:val="Other0"/>
    <w:qFormat/>
    <w:rsid w:val="00f80bc2"/>
    <w:rPr>
      <w:sz w:val="20"/>
      <w:szCs w:val="20"/>
      <w:shd w:fill="FFFFFF" w:val="clear"/>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Header">
    <w:name w:val="Header"/>
    <w:basedOn w:val="Normal"/>
    <w:link w:val="HeaderChar"/>
    <w:uiPriority w:val="99"/>
    <w:unhideWhenUsed/>
    <w:rsid w:val="00b01881"/>
    <w:pPr>
      <w:tabs>
        <w:tab w:val="clear" w:pos="720"/>
        <w:tab w:val="center" w:pos="4677" w:leader="none"/>
        <w:tab w:val="right" w:pos="9355" w:leader="none"/>
      </w:tabs>
      <w:spacing w:lineRule="auto" w:line="240" w:before="0" w:after="0"/>
    </w:pPr>
    <w:rPr/>
  </w:style>
  <w:style w:type="paragraph" w:styleId="Footer">
    <w:name w:val="Footer"/>
    <w:basedOn w:val="Normal"/>
    <w:link w:val="FooterChar"/>
    <w:uiPriority w:val="99"/>
    <w:unhideWhenUsed/>
    <w:rsid w:val="00b01881"/>
    <w:pPr>
      <w:tabs>
        <w:tab w:val="clear" w:pos="720"/>
        <w:tab w:val="center" w:pos="4677" w:leader="none"/>
        <w:tab w:val="right" w:pos="9355" w:leader="none"/>
      </w:tabs>
      <w:spacing w:lineRule="auto" w:line="240" w:before="0" w:after="0"/>
    </w:pPr>
    <w:rPr/>
  </w:style>
  <w:style w:type="paragraph" w:styleId="ListParagraph">
    <w:name w:val="List Paragraph"/>
    <w:basedOn w:val="Normal"/>
    <w:uiPriority w:val="34"/>
    <w:qFormat/>
    <w:rsid w:val="00b01881"/>
    <w:pPr>
      <w:spacing w:before="0" w:after="160"/>
      <w:ind w:left="720" w:hanging="0"/>
      <w:contextualSpacing/>
    </w:pPr>
    <w:rPr/>
  </w:style>
  <w:style w:type="paragraph" w:styleId="PlainText">
    <w:name w:val="Plain Text"/>
    <w:basedOn w:val="Normal"/>
    <w:link w:val="PlainTextChar"/>
    <w:uiPriority w:val="99"/>
    <w:semiHidden/>
    <w:unhideWhenUsed/>
    <w:qFormat/>
    <w:rsid w:val="006456f0"/>
    <w:pPr>
      <w:spacing w:lineRule="auto" w:line="240" w:before="0" w:after="0"/>
    </w:pPr>
    <w:rPr>
      <w:rFonts w:ascii="Calibri" w:hAnsi="Calibri"/>
      <w:szCs w:val="21"/>
    </w:rPr>
  </w:style>
  <w:style w:type="paragraph" w:styleId="Other1" w:customStyle="1">
    <w:name w:val="Other"/>
    <w:basedOn w:val="Normal"/>
    <w:link w:val="Other"/>
    <w:qFormat/>
    <w:rsid w:val="00f80bc2"/>
    <w:pPr>
      <w:widowControl w:val="false"/>
      <w:shd w:val="clear" w:color="auto" w:fill="FFFFFF"/>
      <w:spacing w:lineRule="auto" w:line="240" w:before="0" w:after="0"/>
    </w:pPr>
    <w:rPr>
      <w:sz w:val="20"/>
      <w:szCs w:val="20"/>
      <w:lang w:val="lv-LV"/>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b01881"/>
    <w:pPr>
      <w:spacing w:after="0" w:line="240" w:lineRule="auto"/>
    </w:pPr>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vadybininke@lrvvk.lt"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10.png"/>
</Relationships>
</file>

<file path=word/_rels/header1.xml.rels><?xml version="1.0" encoding="UTF-8"?>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9A5EA-24FF-45C7-ABF1-A40FF85AB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Application>LibreOffice/7.1.5.2$Windows_X86_64 LibreOffice_project/85f04e9f809797b8199d13c421bd8a2b025d52b5</Application>
  <AppVersion>15.0000</AppVersion>
  <Pages>5</Pages>
  <Words>964</Words>
  <Characters>6061</Characters>
  <CharactersWithSpaces>7006</CharactersWithSpaces>
  <Paragraphs>118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2024-09-17T10:53:00Z</dcterms:created>
  <dc:creator>Irena Fjodorova</dc:creator>
  <dc:description/>
  <dc:language>en-US</dc:language>
  <cp:lastModifiedBy/>
  <cp:lastPrinted>2024-09-30T08:24:00Z</cp:lastPrinted>
  <dcterms:modified xsi:type="dcterms:W3CDTF">2024-10-03T17:06:29Z</dcterms:modified>
  <cp:revision>48</cp:revision>
  <dc:subject/>
  <dc:title/>
</cp:coreProperties>
</file>

<file path=docProps/custom.xml><?xml version="1.0" encoding="utf-8"?>
<Properties xmlns="http://schemas.openxmlformats.org/officeDocument/2006/custom-properties" xmlns:vt="http://schemas.openxmlformats.org/officeDocument/2006/docPropsVTypes"/>
</file>